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DB4B12" w14:textId="0D0959A9" w:rsidR="0025107E" w:rsidRPr="003C2137" w:rsidRDefault="0025107E" w:rsidP="0025107E">
      <w:pPr>
        <w:jc w:val="center"/>
        <w:rPr>
          <w:rFonts w:ascii="Montserrat" w:hAnsi="Montserrat"/>
          <w:b/>
          <w:bCs/>
          <w:sz w:val="22"/>
          <w:szCs w:val="22"/>
        </w:rPr>
      </w:pPr>
      <w:r w:rsidRPr="003C2137">
        <w:rPr>
          <w:rFonts w:ascii="Montserrat" w:hAnsi="Montserrat"/>
          <w:b/>
          <w:bCs/>
          <w:sz w:val="22"/>
          <w:szCs w:val="22"/>
        </w:rPr>
        <w:t>NOTA INFORMATIVA</w:t>
      </w:r>
      <w:r w:rsidR="00561895">
        <w:rPr>
          <w:rFonts w:ascii="Montserrat" w:hAnsi="Montserrat"/>
          <w:b/>
          <w:bCs/>
          <w:sz w:val="22"/>
          <w:szCs w:val="22"/>
        </w:rPr>
        <w:t xml:space="preserve"> 2</w:t>
      </w:r>
    </w:p>
    <w:p w14:paraId="2EFAF30D" w14:textId="33441EE3" w:rsidR="00D82F25" w:rsidRDefault="00D82F25" w:rsidP="00D82F25">
      <w:pPr>
        <w:jc w:val="center"/>
        <w:rPr>
          <w:rFonts w:ascii="Montserrat" w:hAnsi="Montserrat"/>
          <w:b/>
          <w:bCs/>
          <w:sz w:val="22"/>
          <w:szCs w:val="22"/>
        </w:rPr>
      </w:pPr>
      <w:r w:rsidRPr="003C2137">
        <w:rPr>
          <w:rFonts w:ascii="Montserrat" w:hAnsi="Montserrat"/>
          <w:b/>
          <w:bCs/>
          <w:sz w:val="22"/>
          <w:szCs w:val="22"/>
        </w:rPr>
        <w:t xml:space="preserve">ANTEPROYECTO </w:t>
      </w:r>
      <w:r w:rsidR="00425E80" w:rsidRPr="003C2137">
        <w:rPr>
          <w:rFonts w:ascii="Montserrat" w:hAnsi="Montserrat"/>
          <w:b/>
          <w:bCs/>
          <w:sz w:val="22"/>
          <w:szCs w:val="22"/>
        </w:rPr>
        <w:t>DE PRESUPUESTO</w:t>
      </w:r>
      <w:r w:rsidRPr="003C2137">
        <w:rPr>
          <w:rFonts w:ascii="Montserrat" w:hAnsi="Montserrat"/>
          <w:b/>
          <w:bCs/>
          <w:sz w:val="22"/>
          <w:szCs w:val="22"/>
        </w:rPr>
        <w:t xml:space="preserve"> 2022 DEL CIDE</w:t>
      </w:r>
    </w:p>
    <w:p w14:paraId="5761CAD2" w14:textId="77777777" w:rsidR="00C06328" w:rsidRPr="003C2137" w:rsidRDefault="00C06328" w:rsidP="00D82F25">
      <w:pPr>
        <w:jc w:val="center"/>
        <w:rPr>
          <w:rFonts w:ascii="Montserrat" w:hAnsi="Montserrat"/>
          <w:b/>
          <w:bCs/>
          <w:sz w:val="22"/>
          <w:szCs w:val="22"/>
        </w:rPr>
      </w:pPr>
    </w:p>
    <w:p w14:paraId="63476744" w14:textId="385A380D" w:rsidR="00D82F25" w:rsidRPr="00FD361F" w:rsidRDefault="0025107E" w:rsidP="00FD361F">
      <w:pPr>
        <w:pStyle w:val="Prrafodelista"/>
        <w:numPr>
          <w:ilvl w:val="0"/>
          <w:numId w:val="1"/>
        </w:numPr>
        <w:jc w:val="both"/>
        <w:rPr>
          <w:rFonts w:ascii="Montserrat" w:hAnsi="Montserrat"/>
          <w:b/>
          <w:bCs/>
          <w:sz w:val="22"/>
          <w:szCs w:val="22"/>
        </w:rPr>
      </w:pPr>
      <w:r w:rsidRPr="003C2137">
        <w:rPr>
          <w:rFonts w:ascii="Montserrat" w:hAnsi="Montserrat"/>
          <w:b/>
          <w:bCs/>
          <w:sz w:val="22"/>
          <w:szCs w:val="22"/>
        </w:rPr>
        <w:t>Antecedentes</w:t>
      </w:r>
    </w:p>
    <w:p w14:paraId="36D1B816" w14:textId="4A442DE6" w:rsidR="00D82F25" w:rsidRPr="003C2137" w:rsidRDefault="00610590" w:rsidP="00FD361F">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 xml:space="preserve">De conformidad con el </w:t>
      </w:r>
      <w:r w:rsidR="00425E80" w:rsidRPr="003C2137">
        <w:rPr>
          <w:rFonts w:ascii="Montserrat" w:hAnsi="Montserrat"/>
          <w:sz w:val="22"/>
          <w:szCs w:val="22"/>
        </w:rPr>
        <w:t>artículo 31 de la Ley Orgánica de la Administración Pública Federa</w:t>
      </w:r>
      <w:r w:rsidR="000B3633" w:rsidRPr="003C2137">
        <w:rPr>
          <w:rFonts w:ascii="Montserrat" w:hAnsi="Montserrat"/>
          <w:sz w:val="22"/>
          <w:szCs w:val="22"/>
        </w:rPr>
        <w:t>l</w:t>
      </w:r>
      <w:r w:rsidRPr="003C2137">
        <w:rPr>
          <w:rFonts w:ascii="Montserrat" w:hAnsi="Montserrat"/>
          <w:sz w:val="22"/>
          <w:szCs w:val="22"/>
        </w:rPr>
        <w:t xml:space="preserve"> (LOAPF)</w:t>
      </w:r>
      <w:r w:rsidR="00425E80" w:rsidRPr="003C2137">
        <w:rPr>
          <w:rFonts w:ascii="Montserrat" w:hAnsi="Montserrat"/>
          <w:sz w:val="22"/>
          <w:szCs w:val="22"/>
        </w:rPr>
        <w:t xml:space="preserve">, </w:t>
      </w:r>
      <w:r w:rsidRPr="003C2137">
        <w:rPr>
          <w:rFonts w:ascii="Montserrat" w:hAnsi="Montserrat"/>
          <w:sz w:val="22"/>
          <w:szCs w:val="22"/>
        </w:rPr>
        <w:t xml:space="preserve">fracciones </w:t>
      </w:r>
      <w:r w:rsidR="00425E80" w:rsidRPr="003C2137">
        <w:rPr>
          <w:rFonts w:ascii="Montserrat" w:hAnsi="Montserrat"/>
          <w:sz w:val="22"/>
          <w:szCs w:val="22"/>
        </w:rPr>
        <w:t xml:space="preserve">XV, XVI, XVII Y XIX, las entidades federales </w:t>
      </w:r>
      <w:r w:rsidRPr="003C2137">
        <w:rPr>
          <w:rFonts w:ascii="Montserrat" w:hAnsi="Montserrat"/>
          <w:sz w:val="22"/>
          <w:szCs w:val="22"/>
        </w:rPr>
        <w:t xml:space="preserve">tienen </w:t>
      </w:r>
      <w:r w:rsidR="00425E80" w:rsidRPr="003C2137">
        <w:rPr>
          <w:rFonts w:ascii="Montserrat" w:hAnsi="Montserrat"/>
          <w:sz w:val="22"/>
          <w:szCs w:val="22"/>
        </w:rPr>
        <w:t xml:space="preserve">la elaboración del </w:t>
      </w:r>
      <w:r w:rsidR="000B3633" w:rsidRPr="003C2137">
        <w:rPr>
          <w:rFonts w:ascii="Montserrat" w:hAnsi="Montserrat"/>
          <w:sz w:val="22"/>
          <w:szCs w:val="22"/>
        </w:rPr>
        <w:t xml:space="preserve">Proyecto de Presupuesto de Egresos de la Federación (PPEF) de cada ejercicio fiscal, </w:t>
      </w:r>
      <w:r w:rsidR="00425E80" w:rsidRPr="003C2137">
        <w:rPr>
          <w:rFonts w:ascii="Montserrat" w:hAnsi="Montserrat"/>
          <w:sz w:val="22"/>
          <w:szCs w:val="22"/>
        </w:rPr>
        <w:t xml:space="preserve">este es </w:t>
      </w:r>
      <w:r w:rsidR="000B3633" w:rsidRPr="003C2137">
        <w:rPr>
          <w:rFonts w:ascii="Montserrat" w:hAnsi="Montserrat"/>
          <w:sz w:val="22"/>
          <w:szCs w:val="22"/>
        </w:rPr>
        <w:t>presenta</w:t>
      </w:r>
      <w:r w:rsidR="00425E80" w:rsidRPr="003C2137">
        <w:rPr>
          <w:rFonts w:ascii="Montserrat" w:hAnsi="Montserrat"/>
          <w:sz w:val="22"/>
          <w:szCs w:val="22"/>
        </w:rPr>
        <w:t>do</w:t>
      </w:r>
      <w:r w:rsidR="000B3633" w:rsidRPr="003C2137">
        <w:rPr>
          <w:rFonts w:ascii="Montserrat" w:hAnsi="Montserrat"/>
          <w:sz w:val="22"/>
          <w:szCs w:val="22"/>
        </w:rPr>
        <w:t xml:space="preserve"> para su autorización al H. Congreso de la Unión por parte de la </w:t>
      </w:r>
      <w:r w:rsidRPr="003C2137">
        <w:rPr>
          <w:rFonts w:ascii="Montserrat" w:hAnsi="Montserrat"/>
          <w:sz w:val="22"/>
          <w:szCs w:val="22"/>
        </w:rPr>
        <w:t>Secretaría de Hacienda y Crédito Público (</w:t>
      </w:r>
      <w:r w:rsidR="000B3633" w:rsidRPr="003C2137">
        <w:rPr>
          <w:rFonts w:ascii="Montserrat" w:hAnsi="Montserrat"/>
          <w:sz w:val="22"/>
          <w:szCs w:val="22"/>
        </w:rPr>
        <w:t>SHCP</w:t>
      </w:r>
      <w:r w:rsidRPr="003C2137">
        <w:rPr>
          <w:rFonts w:ascii="Montserrat" w:hAnsi="Montserrat"/>
          <w:sz w:val="22"/>
          <w:szCs w:val="22"/>
        </w:rPr>
        <w:t>)</w:t>
      </w:r>
      <w:r w:rsidR="000B3633" w:rsidRPr="003C2137">
        <w:rPr>
          <w:rFonts w:ascii="Montserrat" w:hAnsi="Montserrat"/>
          <w:sz w:val="22"/>
          <w:szCs w:val="22"/>
        </w:rPr>
        <w:t>. El PPEF incluye, entre otros elementos, las asignaciones de recursos a nivel partida presupuestaria desglosados por Ramo y Unidad Responsable (UR) con su correspondencia a Programas Presupuestarios (</w:t>
      </w:r>
      <w:proofErr w:type="spellStart"/>
      <w:r w:rsidR="000B3633" w:rsidRPr="003C2137">
        <w:rPr>
          <w:rFonts w:ascii="Montserrat" w:hAnsi="Montserrat"/>
          <w:sz w:val="22"/>
          <w:szCs w:val="22"/>
        </w:rPr>
        <w:t>Pp</w:t>
      </w:r>
      <w:proofErr w:type="spellEnd"/>
      <w:r w:rsidR="000B3633" w:rsidRPr="003C2137">
        <w:rPr>
          <w:rFonts w:ascii="Montserrat" w:hAnsi="Montserrat"/>
          <w:sz w:val="22"/>
          <w:szCs w:val="22"/>
        </w:rPr>
        <w:t xml:space="preserve">), mediante un esquema resumen denominado Estructura Programática (EP). </w:t>
      </w:r>
    </w:p>
    <w:p w14:paraId="44F43D05" w14:textId="7E2665F9" w:rsidR="00D82F25" w:rsidRPr="003C2137" w:rsidRDefault="00425E80" w:rsidP="00FD361F">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 xml:space="preserve">El </w:t>
      </w:r>
      <w:r w:rsidR="000B3633" w:rsidRPr="003C2137">
        <w:rPr>
          <w:rFonts w:ascii="Montserrat" w:hAnsi="Montserrat"/>
          <w:sz w:val="22"/>
          <w:szCs w:val="22"/>
        </w:rPr>
        <w:t>C</w:t>
      </w:r>
      <w:r w:rsidR="00610590" w:rsidRPr="003C2137">
        <w:rPr>
          <w:rFonts w:ascii="Montserrat" w:hAnsi="Montserrat"/>
          <w:sz w:val="22"/>
          <w:szCs w:val="22"/>
        </w:rPr>
        <w:t xml:space="preserve">onsejo </w:t>
      </w:r>
      <w:r w:rsidR="000B3633" w:rsidRPr="003C2137">
        <w:rPr>
          <w:rFonts w:ascii="Montserrat" w:hAnsi="Montserrat"/>
          <w:sz w:val="22"/>
          <w:szCs w:val="22"/>
        </w:rPr>
        <w:t>N</w:t>
      </w:r>
      <w:r w:rsidR="00610590" w:rsidRPr="003C2137">
        <w:rPr>
          <w:rFonts w:ascii="Montserrat" w:hAnsi="Montserrat"/>
          <w:sz w:val="22"/>
          <w:szCs w:val="22"/>
        </w:rPr>
        <w:t xml:space="preserve">acional de </w:t>
      </w:r>
      <w:r w:rsidR="000B3633" w:rsidRPr="003C2137">
        <w:rPr>
          <w:rFonts w:ascii="Montserrat" w:hAnsi="Montserrat"/>
          <w:sz w:val="22"/>
          <w:szCs w:val="22"/>
        </w:rPr>
        <w:t>C</w:t>
      </w:r>
      <w:r w:rsidR="00610590" w:rsidRPr="003C2137">
        <w:rPr>
          <w:rFonts w:ascii="Montserrat" w:hAnsi="Montserrat"/>
          <w:sz w:val="22"/>
          <w:szCs w:val="22"/>
        </w:rPr>
        <w:t xml:space="preserve">iencia y </w:t>
      </w:r>
      <w:r w:rsidR="000B3633" w:rsidRPr="003C2137">
        <w:rPr>
          <w:rFonts w:ascii="Montserrat" w:hAnsi="Montserrat"/>
          <w:sz w:val="22"/>
          <w:szCs w:val="22"/>
        </w:rPr>
        <w:t>T</w:t>
      </w:r>
      <w:r w:rsidR="00610590" w:rsidRPr="003C2137">
        <w:rPr>
          <w:rFonts w:ascii="Montserrat" w:hAnsi="Montserrat"/>
          <w:sz w:val="22"/>
          <w:szCs w:val="22"/>
        </w:rPr>
        <w:t>ecnología</w:t>
      </w:r>
      <w:r w:rsidR="000B3633" w:rsidRPr="003C2137">
        <w:rPr>
          <w:rFonts w:ascii="Montserrat" w:hAnsi="Montserrat"/>
          <w:sz w:val="22"/>
          <w:szCs w:val="22"/>
        </w:rPr>
        <w:t xml:space="preserve"> </w:t>
      </w:r>
      <w:r w:rsidR="003C2137">
        <w:rPr>
          <w:rFonts w:ascii="Montserrat" w:hAnsi="Montserrat"/>
          <w:sz w:val="22"/>
          <w:szCs w:val="22"/>
        </w:rPr>
        <w:t xml:space="preserve">(CONACYT) </w:t>
      </w:r>
      <w:r w:rsidR="000B3633" w:rsidRPr="003C2137">
        <w:rPr>
          <w:rFonts w:ascii="Montserrat" w:hAnsi="Montserrat"/>
          <w:sz w:val="22"/>
          <w:szCs w:val="22"/>
        </w:rPr>
        <w:t>en su calidad de Coordinador Sectorial integra las necesidades de gasto de los C</w:t>
      </w:r>
      <w:r w:rsidR="00610590" w:rsidRPr="003C2137">
        <w:rPr>
          <w:rFonts w:ascii="Montserrat" w:hAnsi="Montserrat"/>
          <w:sz w:val="22"/>
          <w:szCs w:val="22"/>
        </w:rPr>
        <w:t xml:space="preserve">entros </w:t>
      </w:r>
      <w:r w:rsidR="000B3633" w:rsidRPr="003C2137">
        <w:rPr>
          <w:rFonts w:ascii="Montserrat" w:hAnsi="Montserrat"/>
          <w:sz w:val="22"/>
          <w:szCs w:val="22"/>
        </w:rPr>
        <w:t>P</w:t>
      </w:r>
      <w:r w:rsidR="00610590" w:rsidRPr="003C2137">
        <w:rPr>
          <w:rFonts w:ascii="Montserrat" w:hAnsi="Montserrat"/>
          <w:sz w:val="22"/>
          <w:szCs w:val="22"/>
        </w:rPr>
        <w:t xml:space="preserve">úblicos de </w:t>
      </w:r>
      <w:r w:rsidR="000B3633" w:rsidRPr="003C2137">
        <w:rPr>
          <w:rFonts w:ascii="Montserrat" w:hAnsi="Montserrat"/>
          <w:sz w:val="22"/>
          <w:szCs w:val="22"/>
        </w:rPr>
        <w:t>I</w:t>
      </w:r>
      <w:r w:rsidR="00610590" w:rsidRPr="003C2137">
        <w:rPr>
          <w:rFonts w:ascii="Montserrat" w:hAnsi="Montserrat"/>
          <w:sz w:val="22"/>
          <w:szCs w:val="22"/>
        </w:rPr>
        <w:t>nvestigación</w:t>
      </w:r>
      <w:r w:rsidR="000B3633" w:rsidRPr="003C2137">
        <w:rPr>
          <w:rFonts w:ascii="Montserrat" w:hAnsi="Montserrat"/>
          <w:sz w:val="22"/>
          <w:szCs w:val="22"/>
        </w:rPr>
        <w:t xml:space="preserve"> en el Proyecto de Presupuesto del Ramo 38 para cada ejercicio fiscal,</w:t>
      </w:r>
      <w:r w:rsidRPr="003C2137">
        <w:rPr>
          <w:rFonts w:ascii="Montserrat" w:hAnsi="Montserrat"/>
          <w:sz w:val="22"/>
          <w:szCs w:val="22"/>
        </w:rPr>
        <w:t xml:space="preserve"> apegándose a los “Lineamientos para el proceso de programación y presupuestación para el ejercicio fiscal 2022”</w:t>
      </w:r>
      <w:r w:rsidR="006D674F" w:rsidRPr="003C2137">
        <w:rPr>
          <w:rFonts w:ascii="Montserrat" w:hAnsi="Montserrat"/>
          <w:sz w:val="22"/>
          <w:szCs w:val="22"/>
        </w:rPr>
        <w:t xml:space="preserve"> emitidos por la Unidad de Política y Control Presupuestario (UPCP) de la SHCP el pasado 3 de junio de 2021</w:t>
      </w:r>
      <w:r w:rsidRPr="003C2137">
        <w:rPr>
          <w:rFonts w:ascii="Montserrat" w:hAnsi="Montserrat"/>
          <w:sz w:val="22"/>
          <w:szCs w:val="22"/>
        </w:rPr>
        <w:t>,</w:t>
      </w:r>
      <w:r w:rsidR="000B3633" w:rsidRPr="003C2137">
        <w:rPr>
          <w:rFonts w:ascii="Montserrat" w:hAnsi="Montserrat"/>
          <w:sz w:val="22"/>
          <w:szCs w:val="22"/>
        </w:rPr>
        <w:t xml:space="preserve"> realizando los ajustes que se consideran necesarios conforme a las asignaciones presupuestarias (techos) que se establecen.  </w:t>
      </w:r>
    </w:p>
    <w:p w14:paraId="10127112" w14:textId="14C16762" w:rsidR="000B3633" w:rsidRPr="003C2137" w:rsidRDefault="004972BC" w:rsidP="00FD361F">
      <w:pPr>
        <w:pStyle w:val="Prrafodelista"/>
        <w:spacing w:before="120"/>
        <w:ind w:left="0"/>
        <w:contextualSpacing w:val="0"/>
        <w:jc w:val="both"/>
        <w:rPr>
          <w:rFonts w:ascii="Montserrat" w:hAnsi="Montserrat"/>
          <w:sz w:val="22"/>
          <w:szCs w:val="22"/>
        </w:rPr>
      </w:pPr>
      <w:r>
        <w:rPr>
          <w:rFonts w:ascii="Montserrat" w:hAnsi="Montserrat"/>
          <w:sz w:val="22"/>
          <w:szCs w:val="22"/>
        </w:rPr>
        <w:t>Por lo tanto, existen</w:t>
      </w:r>
      <w:r w:rsidR="000B3633" w:rsidRPr="003C2137">
        <w:rPr>
          <w:rFonts w:ascii="Montserrat" w:hAnsi="Montserrat"/>
          <w:sz w:val="22"/>
          <w:szCs w:val="22"/>
        </w:rPr>
        <w:t xml:space="preserve"> varios momentos antes de la presentación y autorización del PEF ante el H. Congreso de la Unión, que se traducen en cambios y ajustes en las asignaciones presupuestarias hacia los CPI y </w:t>
      </w:r>
      <w:r w:rsidR="00425E80" w:rsidRPr="003C2137">
        <w:rPr>
          <w:rFonts w:ascii="Montserrat" w:hAnsi="Montserrat"/>
          <w:sz w:val="22"/>
          <w:szCs w:val="22"/>
        </w:rPr>
        <w:t>en este caso para el CIDE</w:t>
      </w:r>
      <w:r w:rsidR="000B3633" w:rsidRPr="003C2137">
        <w:rPr>
          <w:rFonts w:ascii="Montserrat" w:hAnsi="Montserrat"/>
          <w:sz w:val="22"/>
          <w:szCs w:val="22"/>
        </w:rPr>
        <w:t>. Por lo que la cuantificación de las necesidades de recursos que serán resultado de este proceso de planeación dentro del C</w:t>
      </w:r>
      <w:r w:rsidR="006D674F" w:rsidRPr="003C2137">
        <w:rPr>
          <w:rFonts w:ascii="Montserrat" w:hAnsi="Montserrat"/>
          <w:sz w:val="22"/>
          <w:szCs w:val="22"/>
        </w:rPr>
        <w:t>entro</w:t>
      </w:r>
      <w:r w:rsidR="000B3633" w:rsidRPr="003C2137">
        <w:rPr>
          <w:rFonts w:ascii="Montserrat" w:hAnsi="Montserrat"/>
          <w:sz w:val="22"/>
          <w:szCs w:val="22"/>
        </w:rPr>
        <w:t xml:space="preserve">, conforme a los techos asignados por CONACYT y el Presupuesto de Egresos de la Federación que autorice el H. Congreso de la Unión.  </w:t>
      </w:r>
    </w:p>
    <w:p w14:paraId="6EE88FB4" w14:textId="77777777" w:rsidR="00610590" w:rsidRPr="00096D3A" w:rsidRDefault="00610590" w:rsidP="00096D3A">
      <w:pPr>
        <w:jc w:val="both"/>
        <w:rPr>
          <w:rFonts w:ascii="Montserrat" w:hAnsi="Montserrat"/>
          <w:b/>
          <w:bCs/>
          <w:sz w:val="22"/>
          <w:szCs w:val="22"/>
        </w:rPr>
      </w:pPr>
    </w:p>
    <w:p w14:paraId="55E32198" w14:textId="1AC6E044" w:rsidR="006D674F" w:rsidRPr="00ED278E" w:rsidRDefault="0025107E" w:rsidP="00ED278E">
      <w:pPr>
        <w:pStyle w:val="Prrafodelista"/>
        <w:numPr>
          <w:ilvl w:val="0"/>
          <w:numId w:val="1"/>
        </w:numPr>
        <w:jc w:val="both"/>
        <w:rPr>
          <w:rFonts w:ascii="Montserrat" w:hAnsi="Montserrat"/>
          <w:b/>
          <w:bCs/>
          <w:sz w:val="22"/>
          <w:szCs w:val="22"/>
        </w:rPr>
      </w:pPr>
      <w:r w:rsidRPr="003C2137">
        <w:rPr>
          <w:rFonts w:ascii="Montserrat" w:hAnsi="Montserrat"/>
          <w:b/>
          <w:bCs/>
          <w:sz w:val="22"/>
          <w:szCs w:val="22"/>
        </w:rPr>
        <w:t>Acciones realizadas</w:t>
      </w:r>
    </w:p>
    <w:p w14:paraId="0805E0CB" w14:textId="6BF86BAA" w:rsidR="005B2FEA" w:rsidRPr="00ED278E" w:rsidRDefault="007F08A3" w:rsidP="0050048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 xml:space="preserve">En </w:t>
      </w:r>
      <w:r w:rsidR="006D674F" w:rsidRPr="003C2137">
        <w:rPr>
          <w:rFonts w:ascii="Montserrat" w:hAnsi="Montserrat"/>
          <w:sz w:val="22"/>
          <w:szCs w:val="22"/>
        </w:rPr>
        <w:t>atención a los</w:t>
      </w:r>
      <w:r w:rsidRPr="003C2137">
        <w:rPr>
          <w:rFonts w:ascii="Montserrat" w:hAnsi="Montserrat"/>
          <w:sz w:val="22"/>
          <w:szCs w:val="22"/>
        </w:rPr>
        <w:t xml:space="preserve"> Lineamientos</w:t>
      </w:r>
      <w:r w:rsidR="006D674F" w:rsidRPr="003C2137">
        <w:rPr>
          <w:rFonts w:ascii="Montserrat" w:hAnsi="Montserrat"/>
          <w:sz w:val="22"/>
          <w:szCs w:val="22"/>
        </w:rPr>
        <w:t xml:space="preserve"> antes mencionados, </w:t>
      </w:r>
      <w:r w:rsidRPr="003C2137">
        <w:rPr>
          <w:rFonts w:ascii="Montserrat" w:hAnsi="Montserrat"/>
          <w:sz w:val="22"/>
          <w:szCs w:val="22"/>
        </w:rPr>
        <w:t xml:space="preserve">la </w:t>
      </w:r>
      <w:r w:rsidR="005B2FEA" w:rsidRPr="003C2137">
        <w:rPr>
          <w:rFonts w:ascii="Montserrat" w:hAnsi="Montserrat"/>
          <w:sz w:val="22"/>
          <w:szCs w:val="22"/>
        </w:rPr>
        <w:t>C</w:t>
      </w:r>
      <w:r w:rsidRPr="003C2137">
        <w:rPr>
          <w:rFonts w:ascii="Montserrat" w:hAnsi="Montserrat"/>
          <w:sz w:val="22"/>
          <w:szCs w:val="22"/>
        </w:rPr>
        <w:t xml:space="preserve">oordinación de Administración y </w:t>
      </w:r>
      <w:r w:rsidR="005B2FEA" w:rsidRPr="003C2137">
        <w:rPr>
          <w:rFonts w:ascii="Montserrat" w:hAnsi="Montserrat"/>
          <w:sz w:val="22"/>
          <w:szCs w:val="22"/>
        </w:rPr>
        <w:t>F</w:t>
      </w:r>
      <w:r w:rsidRPr="003C2137">
        <w:rPr>
          <w:rFonts w:ascii="Montserrat" w:hAnsi="Montserrat"/>
          <w:sz w:val="22"/>
          <w:szCs w:val="22"/>
        </w:rPr>
        <w:t>inanzas emitió</w:t>
      </w:r>
      <w:r w:rsidR="006D674F" w:rsidRPr="003C2137">
        <w:rPr>
          <w:rFonts w:ascii="Montserrat" w:hAnsi="Montserrat"/>
          <w:sz w:val="22"/>
          <w:szCs w:val="22"/>
        </w:rPr>
        <w:t xml:space="preserve"> el 15 de junio</w:t>
      </w:r>
      <w:r w:rsidRPr="003C2137">
        <w:rPr>
          <w:rFonts w:ascii="Montserrat" w:hAnsi="Montserrat"/>
          <w:sz w:val="22"/>
          <w:szCs w:val="22"/>
        </w:rPr>
        <w:t xml:space="preserve"> </w:t>
      </w:r>
      <w:r w:rsidR="00610590" w:rsidRPr="003C2137">
        <w:rPr>
          <w:rFonts w:ascii="Montserrat" w:hAnsi="Montserrat"/>
          <w:sz w:val="22"/>
          <w:szCs w:val="22"/>
        </w:rPr>
        <w:t xml:space="preserve">del presente año </w:t>
      </w:r>
      <w:r w:rsidRPr="003C2137">
        <w:rPr>
          <w:rFonts w:ascii="Montserrat" w:hAnsi="Montserrat"/>
          <w:sz w:val="22"/>
          <w:szCs w:val="22"/>
        </w:rPr>
        <w:t xml:space="preserve">los </w:t>
      </w:r>
      <w:r w:rsidR="006D674F" w:rsidRPr="003C2137">
        <w:rPr>
          <w:rFonts w:ascii="Montserrat" w:hAnsi="Montserrat"/>
          <w:sz w:val="22"/>
          <w:szCs w:val="22"/>
        </w:rPr>
        <w:t>“</w:t>
      </w:r>
      <w:r w:rsidRPr="003C2137">
        <w:rPr>
          <w:rFonts w:ascii="Montserrat" w:hAnsi="Montserrat"/>
          <w:sz w:val="22"/>
          <w:szCs w:val="22"/>
        </w:rPr>
        <w:t>Criterios para Conducir el Proceso de Planeación y Presupuestación para el Ejercicio Fiscal 2022</w:t>
      </w:r>
      <w:r w:rsidR="006D674F" w:rsidRPr="003C2137">
        <w:rPr>
          <w:rFonts w:ascii="Montserrat" w:hAnsi="Montserrat"/>
          <w:sz w:val="22"/>
          <w:szCs w:val="22"/>
        </w:rPr>
        <w:t>”</w:t>
      </w:r>
      <w:r w:rsidR="00610590" w:rsidRPr="003C2137">
        <w:rPr>
          <w:rFonts w:ascii="Montserrat" w:hAnsi="Montserrat"/>
          <w:sz w:val="22"/>
          <w:szCs w:val="22"/>
        </w:rPr>
        <w:t xml:space="preserve"> (</w:t>
      </w:r>
      <w:r w:rsidR="00610590" w:rsidRPr="003C2137">
        <w:rPr>
          <w:rFonts w:ascii="Montserrat" w:hAnsi="Montserrat"/>
          <w:b/>
          <w:bCs/>
          <w:sz w:val="22"/>
          <w:szCs w:val="22"/>
        </w:rPr>
        <w:t>Anexo 1</w:t>
      </w:r>
      <w:r w:rsidR="00610590" w:rsidRPr="003C2137">
        <w:rPr>
          <w:rFonts w:ascii="Montserrat" w:hAnsi="Montserrat"/>
          <w:sz w:val="22"/>
          <w:szCs w:val="22"/>
        </w:rPr>
        <w:t>)</w:t>
      </w:r>
      <w:r w:rsidR="005B2FEA" w:rsidRPr="003C2137">
        <w:rPr>
          <w:rFonts w:ascii="Montserrat" w:hAnsi="Montserrat"/>
          <w:sz w:val="22"/>
          <w:szCs w:val="22"/>
        </w:rPr>
        <w:t>, dirigidos a todos los servidores públicos del CIDE que intervienen en el proceso de planeación, programación, presupuestación y ejercicio de recursos públicos</w:t>
      </w:r>
      <w:r w:rsidR="004972BC">
        <w:rPr>
          <w:rFonts w:ascii="Montserrat" w:hAnsi="Montserrat"/>
          <w:sz w:val="22"/>
          <w:szCs w:val="22"/>
        </w:rPr>
        <w:t>.</w:t>
      </w:r>
    </w:p>
    <w:p w14:paraId="27D9E99E" w14:textId="384D1B3B" w:rsidR="003D745F" w:rsidRPr="003C2137" w:rsidRDefault="006D674F" w:rsidP="0050048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E</w:t>
      </w:r>
      <w:r w:rsidR="00610590" w:rsidRPr="003C2137">
        <w:rPr>
          <w:rFonts w:ascii="Montserrat" w:hAnsi="Montserrat"/>
          <w:sz w:val="22"/>
          <w:szCs w:val="22"/>
        </w:rPr>
        <w:t>l objetivo de e</w:t>
      </w:r>
      <w:r w:rsidRPr="003C2137">
        <w:rPr>
          <w:rFonts w:ascii="Montserrat" w:hAnsi="Montserrat"/>
          <w:sz w:val="22"/>
          <w:szCs w:val="22"/>
        </w:rPr>
        <w:t xml:space="preserve">stos criterios </w:t>
      </w:r>
      <w:r w:rsidR="00610590" w:rsidRPr="003C2137">
        <w:rPr>
          <w:rFonts w:ascii="Montserrat" w:hAnsi="Montserrat"/>
          <w:sz w:val="22"/>
          <w:szCs w:val="22"/>
        </w:rPr>
        <w:t xml:space="preserve">consistió en </w:t>
      </w:r>
      <w:r w:rsidR="003D745F" w:rsidRPr="003C2137">
        <w:rPr>
          <w:rFonts w:ascii="Montserrat" w:hAnsi="Montserrat"/>
          <w:sz w:val="22"/>
          <w:szCs w:val="22"/>
        </w:rPr>
        <w:t>fortalecer la vinculación de los recursos solicitados con las necesidades de cada U</w:t>
      </w:r>
      <w:r w:rsidR="00C26859" w:rsidRPr="003C2137">
        <w:rPr>
          <w:rFonts w:ascii="Montserrat" w:hAnsi="Montserrat"/>
          <w:sz w:val="22"/>
          <w:szCs w:val="22"/>
        </w:rPr>
        <w:t xml:space="preserve">nidad </w:t>
      </w:r>
      <w:r w:rsidR="003D745F" w:rsidRPr="003C2137">
        <w:rPr>
          <w:rFonts w:ascii="Montserrat" w:hAnsi="Montserrat"/>
          <w:sz w:val="22"/>
          <w:szCs w:val="22"/>
        </w:rPr>
        <w:t>E</w:t>
      </w:r>
      <w:r w:rsidR="00C26859" w:rsidRPr="003C2137">
        <w:rPr>
          <w:rFonts w:ascii="Montserrat" w:hAnsi="Montserrat"/>
          <w:sz w:val="22"/>
          <w:szCs w:val="22"/>
        </w:rPr>
        <w:t xml:space="preserve">jecutora de </w:t>
      </w:r>
      <w:r w:rsidR="003D745F" w:rsidRPr="003C2137">
        <w:rPr>
          <w:rFonts w:ascii="Montserrat" w:hAnsi="Montserrat"/>
          <w:sz w:val="22"/>
          <w:szCs w:val="22"/>
        </w:rPr>
        <w:t>G</w:t>
      </w:r>
      <w:r w:rsidR="00C26859" w:rsidRPr="003C2137">
        <w:rPr>
          <w:rFonts w:ascii="Montserrat" w:hAnsi="Montserrat"/>
          <w:sz w:val="22"/>
          <w:szCs w:val="22"/>
        </w:rPr>
        <w:t>asto</w:t>
      </w:r>
      <w:r w:rsidR="00610590" w:rsidRPr="003C2137">
        <w:rPr>
          <w:rFonts w:ascii="Montserrat" w:hAnsi="Montserrat"/>
          <w:sz w:val="22"/>
          <w:szCs w:val="22"/>
        </w:rPr>
        <w:t xml:space="preserve"> (UEG)</w:t>
      </w:r>
      <w:r w:rsidR="003D745F" w:rsidRPr="003C2137">
        <w:rPr>
          <w:rFonts w:ascii="Montserrat" w:hAnsi="Montserrat"/>
          <w:sz w:val="22"/>
          <w:szCs w:val="22"/>
        </w:rPr>
        <w:t xml:space="preserve">, así como con el cumplimiento de los objetivos institucionales y el seguimiento de su ejercicio, manteniendo un enfoque a resultados, transparencia y rendición de cuentas, </w:t>
      </w:r>
      <w:r w:rsidRPr="003C2137">
        <w:rPr>
          <w:rFonts w:ascii="Montserrat" w:hAnsi="Montserrat"/>
          <w:sz w:val="22"/>
          <w:szCs w:val="22"/>
        </w:rPr>
        <w:t xml:space="preserve">la integración de la información </w:t>
      </w:r>
      <w:r w:rsidR="003D745F" w:rsidRPr="003C2137">
        <w:rPr>
          <w:rFonts w:ascii="Montserrat" w:hAnsi="Montserrat"/>
          <w:sz w:val="22"/>
          <w:szCs w:val="22"/>
        </w:rPr>
        <w:t>presupuestaria</w:t>
      </w:r>
      <w:r w:rsidRPr="003C2137">
        <w:rPr>
          <w:rFonts w:ascii="Montserrat" w:hAnsi="Montserrat"/>
          <w:sz w:val="22"/>
          <w:szCs w:val="22"/>
        </w:rPr>
        <w:t xml:space="preserve"> se realizó </w:t>
      </w:r>
      <w:r w:rsidR="00610590" w:rsidRPr="003C2137">
        <w:rPr>
          <w:rFonts w:ascii="Montserrat" w:hAnsi="Montserrat"/>
          <w:sz w:val="22"/>
          <w:szCs w:val="22"/>
        </w:rPr>
        <w:t>tomando en consideración las siguientes premisas</w:t>
      </w:r>
      <w:r w:rsidR="003D745F" w:rsidRPr="003C2137">
        <w:rPr>
          <w:rFonts w:ascii="Montserrat" w:hAnsi="Montserrat"/>
          <w:sz w:val="22"/>
          <w:szCs w:val="22"/>
        </w:rPr>
        <w:t>:</w:t>
      </w:r>
    </w:p>
    <w:p w14:paraId="5E6A5B67" w14:textId="77777777" w:rsidR="00610590" w:rsidRPr="003C2137" w:rsidRDefault="00610590" w:rsidP="006D674F">
      <w:pPr>
        <w:pStyle w:val="Prrafodelista"/>
        <w:ind w:left="142"/>
        <w:jc w:val="both"/>
        <w:rPr>
          <w:rFonts w:ascii="Montserrat" w:hAnsi="Montserrat"/>
          <w:sz w:val="22"/>
          <w:szCs w:val="22"/>
        </w:rPr>
      </w:pPr>
    </w:p>
    <w:p w14:paraId="6C4FF614" w14:textId="1393569B" w:rsidR="005B2FEA" w:rsidRPr="003C2137" w:rsidRDefault="005B2FEA" w:rsidP="005B2FEA">
      <w:pPr>
        <w:pStyle w:val="Prrafodelista"/>
        <w:numPr>
          <w:ilvl w:val="0"/>
          <w:numId w:val="3"/>
        </w:numPr>
        <w:jc w:val="both"/>
        <w:rPr>
          <w:rFonts w:ascii="Montserrat" w:hAnsi="Montserrat"/>
          <w:sz w:val="22"/>
          <w:szCs w:val="22"/>
        </w:rPr>
      </w:pPr>
      <w:r w:rsidRPr="003C2137">
        <w:rPr>
          <w:rFonts w:ascii="Montserrat" w:hAnsi="Montserrat"/>
          <w:sz w:val="22"/>
          <w:szCs w:val="22"/>
        </w:rPr>
        <w:t>Criterios de elaboración del Proyecto de Presupuesto de Egresos de la SHCP y Ley Federal de Austeridad Republicana</w:t>
      </w:r>
      <w:r w:rsidR="00610590" w:rsidRPr="003C2137">
        <w:rPr>
          <w:rFonts w:ascii="Montserrat" w:hAnsi="Montserrat"/>
          <w:sz w:val="22"/>
          <w:szCs w:val="22"/>
        </w:rPr>
        <w:t>;</w:t>
      </w:r>
    </w:p>
    <w:p w14:paraId="52A03DB3" w14:textId="011A7F3A" w:rsidR="005B2FEA" w:rsidRPr="003C2137" w:rsidRDefault="005B2FEA" w:rsidP="005B2FEA">
      <w:pPr>
        <w:pStyle w:val="Prrafodelista"/>
        <w:numPr>
          <w:ilvl w:val="0"/>
          <w:numId w:val="3"/>
        </w:numPr>
        <w:jc w:val="both"/>
        <w:rPr>
          <w:rFonts w:ascii="Montserrat" w:hAnsi="Montserrat"/>
          <w:sz w:val="22"/>
          <w:szCs w:val="22"/>
        </w:rPr>
      </w:pPr>
      <w:r w:rsidRPr="003C2137">
        <w:rPr>
          <w:rFonts w:ascii="Montserrat" w:hAnsi="Montserrat"/>
          <w:sz w:val="22"/>
          <w:szCs w:val="22"/>
        </w:rPr>
        <w:t>Condiciones de regreso paulatino a actividades presenciales en instalaciones derivado de la pandemia por COVID-19</w:t>
      </w:r>
      <w:r w:rsidR="00610590" w:rsidRPr="003C2137">
        <w:rPr>
          <w:rFonts w:ascii="Montserrat" w:hAnsi="Montserrat"/>
          <w:sz w:val="22"/>
          <w:szCs w:val="22"/>
        </w:rPr>
        <w:t>;</w:t>
      </w:r>
    </w:p>
    <w:p w14:paraId="686BCD2C" w14:textId="1EC8AAB5" w:rsidR="005B2FEA" w:rsidRPr="003C2137" w:rsidRDefault="005B2FEA" w:rsidP="005B2FEA">
      <w:pPr>
        <w:pStyle w:val="Prrafodelista"/>
        <w:numPr>
          <w:ilvl w:val="0"/>
          <w:numId w:val="3"/>
        </w:numPr>
        <w:jc w:val="both"/>
        <w:rPr>
          <w:rFonts w:ascii="Montserrat" w:hAnsi="Montserrat"/>
          <w:sz w:val="22"/>
          <w:szCs w:val="22"/>
        </w:rPr>
      </w:pPr>
      <w:r w:rsidRPr="003C2137">
        <w:rPr>
          <w:rFonts w:ascii="Montserrat" w:hAnsi="Montserrat"/>
          <w:sz w:val="22"/>
          <w:szCs w:val="22"/>
        </w:rPr>
        <w:t>Necesidades de las áreas ejecutoras de gasto del CIDE y presupuesto autorizado y modificado al primer semestre de 2021</w:t>
      </w:r>
      <w:r w:rsidR="00610590" w:rsidRPr="003C2137">
        <w:rPr>
          <w:rFonts w:ascii="Montserrat" w:hAnsi="Montserrat"/>
          <w:sz w:val="22"/>
          <w:szCs w:val="22"/>
        </w:rPr>
        <w:t>;</w:t>
      </w:r>
    </w:p>
    <w:p w14:paraId="2208F1B2" w14:textId="13499F6C" w:rsidR="003D745F" w:rsidRPr="003C2137" w:rsidRDefault="005B2FEA" w:rsidP="005B2FEA">
      <w:pPr>
        <w:pStyle w:val="Prrafodelista"/>
        <w:numPr>
          <w:ilvl w:val="0"/>
          <w:numId w:val="3"/>
        </w:numPr>
        <w:jc w:val="both"/>
        <w:rPr>
          <w:rFonts w:ascii="Montserrat" w:hAnsi="Montserrat"/>
          <w:sz w:val="22"/>
          <w:szCs w:val="22"/>
        </w:rPr>
      </w:pPr>
      <w:r w:rsidRPr="003C2137">
        <w:rPr>
          <w:rFonts w:ascii="Montserrat" w:hAnsi="Montserrat"/>
          <w:sz w:val="22"/>
          <w:szCs w:val="22"/>
        </w:rPr>
        <w:lastRenderedPageBreak/>
        <w:t>Complementariedad de uso de recursos autogenerados</w:t>
      </w:r>
      <w:r w:rsidR="00610590" w:rsidRPr="003C2137">
        <w:rPr>
          <w:rFonts w:ascii="Montserrat" w:hAnsi="Montserrat"/>
          <w:sz w:val="22"/>
          <w:szCs w:val="22"/>
        </w:rPr>
        <w:t>;</w:t>
      </w:r>
    </w:p>
    <w:p w14:paraId="4110055E" w14:textId="0A75B885" w:rsidR="00B60B7C" w:rsidRPr="003C2137" w:rsidRDefault="00B60B7C" w:rsidP="005B2FEA">
      <w:pPr>
        <w:pStyle w:val="Prrafodelista"/>
        <w:numPr>
          <w:ilvl w:val="0"/>
          <w:numId w:val="3"/>
        </w:numPr>
        <w:jc w:val="both"/>
        <w:rPr>
          <w:rFonts w:ascii="Montserrat" w:hAnsi="Montserrat"/>
          <w:sz w:val="22"/>
          <w:szCs w:val="22"/>
        </w:rPr>
      </w:pPr>
      <w:r w:rsidRPr="003C2137">
        <w:rPr>
          <w:rFonts w:ascii="Montserrat" w:hAnsi="Montserrat"/>
          <w:sz w:val="22"/>
          <w:szCs w:val="22"/>
        </w:rPr>
        <w:t>Requerimientos de recursos en materia de adquisiciones, arrendamiento y/o contratación de servicios</w:t>
      </w:r>
      <w:r w:rsidR="00610590" w:rsidRPr="003C2137">
        <w:rPr>
          <w:rFonts w:ascii="Montserrat" w:hAnsi="Montserrat"/>
          <w:sz w:val="22"/>
          <w:szCs w:val="22"/>
        </w:rPr>
        <w:t>;</w:t>
      </w:r>
    </w:p>
    <w:p w14:paraId="4FE89638" w14:textId="61348854" w:rsidR="00B60B7C" w:rsidRPr="003C2137" w:rsidRDefault="00B60B7C" w:rsidP="005B2FEA">
      <w:pPr>
        <w:pStyle w:val="Prrafodelista"/>
        <w:numPr>
          <w:ilvl w:val="0"/>
          <w:numId w:val="3"/>
        </w:numPr>
        <w:jc w:val="both"/>
        <w:rPr>
          <w:rFonts w:ascii="Montserrat" w:hAnsi="Montserrat"/>
          <w:sz w:val="22"/>
          <w:szCs w:val="22"/>
        </w:rPr>
      </w:pPr>
      <w:r w:rsidRPr="003C2137">
        <w:rPr>
          <w:rFonts w:ascii="Montserrat" w:hAnsi="Montserrat"/>
          <w:sz w:val="22"/>
          <w:szCs w:val="22"/>
        </w:rPr>
        <w:t>No superar los techos asignados en el PEF del ejercicio 2021</w:t>
      </w:r>
      <w:r w:rsidR="00610590" w:rsidRPr="003C2137">
        <w:rPr>
          <w:rFonts w:ascii="Montserrat" w:hAnsi="Montserrat"/>
          <w:sz w:val="22"/>
          <w:szCs w:val="22"/>
        </w:rPr>
        <w:t>;</w:t>
      </w:r>
    </w:p>
    <w:p w14:paraId="5E2A9659" w14:textId="58B2B324" w:rsidR="00754173" w:rsidRPr="0050048A" w:rsidRDefault="00B60B7C" w:rsidP="00754173">
      <w:pPr>
        <w:pStyle w:val="Prrafodelista"/>
        <w:numPr>
          <w:ilvl w:val="0"/>
          <w:numId w:val="3"/>
        </w:numPr>
        <w:jc w:val="both"/>
        <w:rPr>
          <w:rFonts w:ascii="Montserrat" w:hAnsi="Montserrat"/>
          <w:sz w:val="22"/>
          <w:szCs w:val="22"/>
        </w:rPr>
      </w:pPr>
      <w:r w:rsidRPr="003C2137">
        <w:rPr>
          <w:rFonts w:ascii="Montserrat" w:hAnsi="Montserrat"/>
          <w:sz w:val="22"/>
          <w:szCs w:val="22"/>
        </w:rPr>
        <w:t>Cuidar las partidas restringidas por la Ley de Austeridad</w:t>
      </w:r>
      <w:r w:rsidR="00610590" w:rsidRPr="003C2137">
        <w:rPr>
          <w:rFonts w:ascii="Montserrat" w:hAnsi="Montserrat"/>
          <w:sz w:val="22"/>
          <w:szCs w:val="22"/>
        </w:rPr>
        <w:t>.</w:t>
      </w:r>
    </w:p>
    <w:p w14:paraId="746B39A7" w14:textId="35C3C49A" w:rsidR="003D745F" w:rsidRPr="0050048A" w:rsidRDefault="00B60B7C" w:rsidP="0050048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Una vez consolidada la</w:t>
      </w:r>
      <w:r w:rsidR="001D318E" w:rsidRPr="003C2137">
        <w:rPr>
          <w:rFonts w:ascii="Montserrat" w:hAnsi="Montserrat"/>
          <w:sz w:val="22"/>
          <w:szCs w:val="22"/>
        </w:rPr>
        <w:t xml:space="preserve"> información </w:t>
      </w:r>
      <w:r w:rsidRPr="003C2137">
        <w:rPr>
          <w:rFonts w:ascii="Montserrat" w:hAnsi="Montserrat"/>
          <w:sz w:val="22"/>
          <w:szCs w:val="22"/>
        </w:rPr>
        <w:t>enviada por cada UEG</w:t>
      </w:r>
      <w:r w:rsidR="001D318E" w:rsidRPr="003C2137">
        <w:rPr>
          <w:rFonts w:ascii="Montserrat" w:hAnsi="Montserrat"/>
          <w:sz w:val="22"/>
          <w:szCs w:val="22"/>
        </w:rPr>
        <w:t xml:space="preserve"> </w:t>
      </w:r>
      <w:r w:rsidRPr="003C2137">
        <w:rPr>
          <w:rFonts w:ascii="Montserrat" w:hAnsi="Montserrat"/>
          <w:sz w:val="22"/>
          <w:szCs w:val="22"/>
        </w:rPr>
        <w:t xml:space="preserve">se </w:t>
      </w:r>
      <w:r w:rsidR="00610590" w:rsidRPr="003C2137">
        <w:rPr>
          <w:rFonts w:ascii="Montserrat" w:hAnsi="Montserrat"/>
          <w:sz w:val="22"/>
          <w:szCs w:val="22"/>
        </w:rPr>
        <w:t>contó con</w:t>
      </w:r>
      <w:r w:rsidRPr="003C2137">
        <w:rPr>
          <w:rFonts w:ascii="Montserrat" w:hAnsi="Montserrat"/>
          <w:sz w:val="22"/>
          <w:szCs w:val="22"/>
        </w:rPr>
        <w:t xml:space="preserve"> la primera versión</w:t>
      </w:r>
      <w:r w:rsidR="001D318E" w:rsidRPr="003C2137">
        <w:rPr>
          <w:rFonts w:ascii="Montserrat" w:hAnsi="Montserrat"/>
          <w:sz w:val="22"/>
          <w:szCs w:val="22"/>
        </w:rPr>
        <w:t xml:space="preserve"> del APPEF CIDE 2022</w:t>
      </w:r>
      <w:r w:rsidRPr="003C2137">
        <w:rPr>
          <w:rFonts w:ascii="Montserrat" w:hAnsi="Montserrat"/>
          <w:sz w:val="22"/>
          <w:szCs w:val="22"/>
        </w:rPr>
        <w:t xml:space="preserve"> y con esto se </w:t>
      </w:r>
      <w:r w:rsidR="007212DD" w:rsidRPr="003C2137">
        <w:rPr>
          <w:rFonts w:ascii="Montserrat" w:hAnsi="Montserrat"/>
          <w:sz w:val="22"/>
          <w:szCs w:val="22"/>
        </w:rPr>
        <w:t>tuvieron e</w:t>
      </w:r>
      <w:r w:rsidR="001D318E" w:rsidRPr="003C2137">
        <w:rPr>
          <w:rFonts w:ascii="Montserrat" w:hAnsi="Montserrat"/>
          <w:sz w:val="22"/>
          <w:szCs w:val="22"/>
        </w:rPr>
        <w:t>lementos para la priorización y toma de decisiones en cuanto a la asignación de recursos y se podrán identificar las brechas que existan entre las asignaciones presupuestarias y las necesidades reales de operación del CIDE</w:t>
      </w:r>
      <w:r w:rsidR="007212DD" w:rsidRPr="003C2137">
        <w:rPr>
          <w:rFonts w:ascii="Montserrat" w:hAnsi="Montserrat"/>
          <w:sz w:val="22"/>
          <w:szCs w:val="22"/>
        </w:rPr>
        <w:t>,</w:t>
      </w:r>
      <w:r w:rsidR="001D318E" w:rsidRPr="003C2137">
        <w:rPr>
          <w:rFonts w:ascii="Montserrat" w:hAnsi="Montserrat"/>
          <w:sz w:val="22"/>
          <w:szCs w:val="22"/>
        </w:rPr>
        <w:t xml:space="preserve"> así como disminuir las solicitudes de información a las diversas áreas del CIDE con respecto al ejercicio de los recursos</w:t>
      </w:r>
    </w:p>
    <w:p w14:paraId="21D2F819" w14:textId="1D69AED6" w:rsidR="00610590" w:rsidRPr="0050048A" w:rsidRDefault="004972BC" w:rsidP="0050048A">
      <w:pPr>
        <w:pStyle w:val="Prrafodelista"/>
        <w:spacing w:before="120"/>
        <w:ind w:left="0"/>
        <w:contextualSpacing w:val="0"/>
        <w:jc w:val="both"/>
        <w:rPr>
          <w:rFonts w:ascii="Montserrat" w:hAnsi="Montserrat"/>
          <w:sz w:val="22"/>
          <w:szCs w:val="22"/>
        </w:rPr>
      </w:pPr>
      <w:r>
        <w:rPr>
          <w:rFonts w:ascii="Montserrat" w:hAnsi="Montserrat"/>
          <w:sz w:val="22"/>
          <w:szCs w:val="22"/>
        </w:rPr>
        <w:t>Se</w:t>
      </w:r>
      <w:r w:rsidR="007212DD" w:rsidRPr="003C2137">
        <w:rPr>
          <w:rFonts w:ascii="Montserrat" w:hAnsi="Montserrat"/>
          <w:sz w:val="22"/>
          <w:szCs w:val="22"/>
        </w:rPr>
        <w:t xml:space="preserve"> </w:t>
      </w:r>
      <w:r w:rsidR="00550F95" w:rsidRPr="003C2137">
        <w:rPr>
          <w:rFonts w:ascii="Montserrat" w:hAnsi="Montserrat"/>
          <w:sz w:val="22"/>
          <w:szCs w:val="22"/>
        </w:rPr>
        <w:t>determinó</w:t>
      </w:r>
      <w:r w:rsidR="007212DD" w:rsidRPr="003C2137">
        <w:rPr>
          <w:rFonts w:ascii="Montserrat" w:hAnsi="Montserrat"/>
          <w:sz w:val="22"/>
          <w:szCs w:val="22"/>
        </w:rPr>
        <w:t xml:space="preserve"> </w:t>
      </w:r>
      <w:r w:rsidR="00550F95" w:rsidRPr="003C2137">
        <w:rPr>
          <w:rFonts w:ascii="Montserrat" w:hAnsi="Montserrat"/>
          <w:sz w:val="22"/>
          <w:szCs w:val="22"/>
        </w:rPr>
        <w:t>respetar los techos asignados en 2021, de la</w:t>
      </w:r>
      <w:r w:rsidR="007212DD" w:rsidRPr="003C2137">
        <w:rPr>
          <w:rFonts w:ascii="Montserrat" w:hAnsi="Montserrat"/>
          <w:sz w:val="22"/>
          <w:szCs w:val="22"/>
        </w:rPr>
        <w:t>s partidas restringidas</w:t>
      </w:r>
      <w:r w:rsidR="00610590" w:rsidRPr="003C2137">
        <w:rPr>
          <w:rFonts w:ascii="Montserrat" w:hAnsi="Montserrat"/>
          <w:sz w:val="22"/>
          <w:szCs w:val="22"/>
        </w:rPr>
        <w:t xml:space="preserve">. Asimismo, con el fin de brindar mayor claridad respecto de las partidas contempladas en el APPEF, las premisas para su realización, la composición por fuente de financiamiento (recursos fiscales y recursos propios) se adjunta a la presente nota como </w:t>
      </w:r>
      <w:r w:rsidR="00610590" w:rsidRPr="003C2137">
        <w:rPr>
          <w:rFonts w:ascii="Montserrat" w:hAnsi="Montserrat"/>
          <w:b/>
          <w:bCs/>
          <w:sz w:val="22"/>
          <w:szCs w:val="22"/>
        </w:rPr>
        <w:t>Anexos 2 y 3</w:t>
      </w:r>
      <w:r w:rsidR="00610590" w:rsidRPr="003C2137">
        <w:rPr>
          <w:rFonts w:ascii="Montserrat" w:hAnsi="Montserrat"/>
          <w:sz w:val="22"/>
          <w:szCs w:val="22"/>
        </w:rPr>
        <w:t xml:space="preserve"> la presentación del APPEF 2022, así como el archivo en formato Excel solicitado por CONACYT con el desglose de los montos solicitados.</w:t>
      </w:r>
    </w:p>
    <w:p w14:paraId="4A47D406" w14:textId="1DB6922D" w:rsidR="007212DD" w:rsidRPr="003C2137" w:rsidRDefault="00610590" w:rsidP="0050048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Por otro lado</w:t>
      </w:r>
      <w:r w:rsidR="00550F95" w:rsidRPr="003C2137">
        <w:rPr>
          <w:rFonts w:ascii="Montserrat" w:hAnsi="Montserrat"/>
          <w:sz w:val="22"/>
          <w:szCs w:val="22"/>
        </w:rPr>
        <w:t xml:space="preserve">, </w:t>
      </w:r>
      <w:r w:rsidRPr="003C2137">
        <w:rPr>
          <w:rFonts w:ascii="Montserrat" w:hAnsi="Montserrat"/>
          <w:sz w:val="22"/>
          <w:szCs w:val="22"/>
        </w:rPr>
        <w:t xml:space="preserve">se considera necesario señalar que </w:t>
      </w:r>
      <w:r w:rsidR="00550F95" w:rsidRPr="003C2137">
        <w:rPr>
          <w:rFonts w:ascii="Montserrat" w:hAnsi="Montserrat"/>
          <w:sz w:val="22"/>
          <w:szCs w:val="22"/>
        </w:rPr>
        <w:t>para el ejercicio 2022 se rebasaron los techos en cinco partidas esenciales para la operación del Centro, que son las siguientes:</w:t>
      </w:r>
    </w:p>
    <w:p w14:paraId="2EADD3F7" w14:textId="5DA974E8" w:rsidR="009C6356" w:rsidRPr="003C2137" w:rsidRDefault="009C6356" w:rsidP="009C6356">
      <w:pPr>
        <w:pStyle w:val="Prrafodelista"/>
        <w:ind w:left="142"/>
        <w:jc w:val="both"/>
        <w:rPr>
          <w:rFonts w:ascii="Montserrat" w:hAnsi="Montserrat"/>
          <w:sz w:val="22"/>
          <w:szCs w:val="22"/>
        </w:rPr>
      </w:pPr>
    </w:p>
    <w:tbl>
      <w:tblPr>
        <w:tblW w:w="10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33"/>
        <w:gridCol w:w="2126"/>
        <w:gridCol w:w="1276"/>
        <w:gridCol w:w="1289"/>
        <w:gridCol w:w="1120"/>
        <w:gridCol w:w="3828"/>
      </w:tblGrid>
      <w:tr w:rsidR="009C6356" w:rsidRPr="00FA779D" w14:paraId="38544E5E" w14:textId="77777777" w:rsidTr="0056302C">
        <w:trPr>
          <w:trHeight w:val="243"/>
          <w:tblHeader/>
          <w:jc w:val="center"/>
        </w:trPr>
        <w:tc>
          <w:tcPr>
            <w:tcW w:w="833" w:type="dxa"/>
            <w:shd w:val="clear" w:color="auto" w:fill="1F497D" w:themeFill="text2"/>
            <w:noWrap/>
            <w:vAlign w:val="center"/>
            <w:hideMark/>
          </w:tcPr>
          <w:p w14:paraId="3B37C1D3" w14:textId="77777777"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Partida</w:t>
            </w:r>
          </w:p>
        </w:tc>
        <w:tc>
          <w:tcPr>
            <w:tcW w:w="2126" w:type="dxa"/>
            <w:shd w:val="clear" w:color="auto" w:fill="1F497D" w:themeFill="text2"/>
            <w:noWrap/>
            <w:vAlign w:val="center"/>
            <w:hideMark/>
          </w:tcPr>
          <w:p w14:paraId="65139351" w14:textId="77777777"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Concepto</w:t>
            </w:r>
          </w:p>
        </w:tc>
        <w:tc>
          <w:tcPr>
            <w:tcW w:w="1276" w:type="dxa"/>
            <w:shd w:val="clear" w:color="auto" w:fill="1F497D" w:themeFill="text2"/>
            <w:vAlign w:val="center"/>
            <w:hideMark/>
          </w:tcPr>
          <w:p w14:paraId="3B077832" w14:textId="60ACA000"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Modificado</w:t>
            </w:r>
            <w:r w:rsidR="0056302C">
              <w:rPr>
                <w:rFonts w:ascii="Montserrat" w:eastAsia="Times New Roman" w:hAnsi="Montserrat" w:cs="Times New Roman"/>
                <w:b/>
                <w:bCs/>
                <w:color w:val="FFFFFF"/>
                <w:sz w:val="16"/>
                <w:szCs w:val="16"/>
                <w:lang w:val="es-MX" w:eastAsia="es-MX"/>
              </w:rPr>
              <w:t xml:space="preserve"> 2021</w:t>
            </w:r>
          </w:p>
        </w:tc>
        <w:tc>
          <w:tcPr>
            <w:tcW w:w="1289" w:type="dxa"/>
            <w:shd w:val="clear" w:color="auto" w:fill="1F497D" w:themeFill="text2"/>
            <w:vAlign w:val="center"/>
            <w:hideMark/>
          </w:tcPr>
          <w:p w14:paraId="289AF3FA" w14:textId="798035E7"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Requerido</w:t>
            </w:r>
            <w:r w:rsidR="0056302C">
              <w:rPr>
                <w:rFonts w:ascii="Montserrat" w:eastAsia="Times New Roman" w:hAnsi="Montserrat" w:cs="Times New Roman"/>
                <w:b/>
                <w:bCs/>
                <w:color w:val="FFFFFF"/>
                <w:sz w:val="16"/>
                <w:szCs w:val="16"/>
                <w:lang w:val="es-MX" w:eastAsia="es-MX"/>
              </w:rPr>
              <w:t xml:space="preserve"> 2022</w:t>
            </w:r>
          </w:p>
        </w:tc>
        <w:tc>
          <w:tcPr>
            <w:tcW w:w="1120" w:type="dxa"/>
            <w:shd w:val="clear" w:color="auto" w:fill="1F497D" w:themeFill="text2"/>
            <w:noWrap/>
            <w:vAlign w:val="center"/>
            <w:hideMark/>
          </w:tcPr>
          <w:p w14:paraId="5B8E812E" w14:textId="77777777"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Incremento</w:t>
            </w:r>
          </w:p>
        </w:tc>
        <w:tc>
          <w:tcPr>
            <w:tcW w:w="3828" w:type="dxa"/>
            <w:shd w:val="clear" w:color="auto" w:fill="1F497D" w:themeFill="text2"/>
            <w:vAlign w:val="center"/>
            <w:hideMark/>
          </w:tcPr>
          <w:p w14:paraId="04FEA6DE" w14:textId="77777777" w:rsidR="009C6356" w:rsidRPr="00FA779D" w:rsidRDefault="009C6356" w:rsidP="0056302C">
            <w:pPr>
              <w:contextualSpacing/>
              <w:jc w:val="center"/>
              <w:rPr>
                <w:rFonts w:ascii="Montserrat" w:eastAsia="Times New Roman" w:hAnsi="Montserrat" w:cs="Times New Roman"/>
                <w:b/>
                <w:bCs/>
                <w:color w:val="FFFFFF"/>
                <w:sz w:val="16"/>
                <w:szCs w:val="16"/>
                <w:lang w:val="es-MX" w:eastAsia="es-MX"/>
              </w:rPr>
            </w:pPr>
            <w:r w:rsidRPr="00FA779D">
              <w:rPr>
                <w:rFonts w:ascii="Montserrat" w:eastAsia="Times New Roman" w:hAnsi="Montserrat" w:cs="Times New Roman"/>
                <w:b/>
                <w:bCs/>
                <w:color w:val="FFFFFF"/>
                <w:sz w:val="16"/>
                <w:szCs w:val="16"/>
                <w:lang w:val="es-MX" w:eastAsia="es-MX"/>
              </w:rPr>
              <w:t>Razón / Justificación de la necesidad</w:t>
            </w:r>
          </w:p>
        </w:tc>
      </w:tr>
      <w:tr w:rsidR="009C6356" w:rsidRPr="00FA779D" w14:paraId="0BED81D9" w14:textId="77777777" w:rsidTr="0056302C">
        <w:trPr>
          <w:trHeight w:val="480"/>
          <w:jc w:val="center"/>
        </w:trPr>
        <w:tc>
          <w:tcPr>
            <w:tcW w:w="833" w:type="dxa"/>
            <w:shd w:val="clear" w:color="auto" w:fill="auto"/>
            <w:vAlign w:val="center"/>
            <w:hideMark/>
          </w:tcPr>
          <w:p w14:paraId="328CEC97" w14:textId="77777777" w:rsidR="009C6356" w:rsidRPr="00FA779D" w:rsidRDefault="009C6356" w:rsidP="0056302C">
            <w:pPr>
              <w:contextualSpacing/>
              <w:jc w:val="center"/>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26105</w:t>
            </w:r>
          </w:p>
        </w:tc>
        <w:tc>
          <w:tcPr>
            <w:tcW w:w="2126" w:type="dxa"/>
            <w:shd w:val="clear" w:color="auto" w:fill="auto"/>
            <w:vAlign w:val="center"/>
            <w:hideMark/>
          </w:tcPr>
          <w:p w14:paraId="635D25D5"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Combustibles,</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lubricantes</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y</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aditivos</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para</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maquinaria,</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equipo</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de</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prod.</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y</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servicios</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administrativos</w:t>
            </w:r>
          </w:p>
        </w:tc>
        <w:tc>
          <w:tcPr>
            <w:tcW w:w="1276" w:type="dxa"/>
            <w:shd w:val="clear" w:color="auto" w:fill="auto"/>
            <w:vAlign w:val="center"/>
            <w:hideMark/>
          </w:tcPr>
          <w:p w14:paraId="07815970"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Cambria" w:eastAsia="Times New Roman" w:hAnsi="Cambria" w:cs="Cambria"/>
                <w:color w:val="000000"/>
                <w:sz w:val="16"/>
                <w:szCs w:val="16"/>
                <w:lang w:val="es-MX" w:eastAsia="es-MX"/>
              </w:rPr>
              <w:t> </w:t>
            </w:r>
          </w:p>
        </w:tc>
        <w:tc>
          <w:tcPr>
            <w:tcW w:w="1289" w:type="dxa"/>
            <w:shd w:val="clear" w:color="auto" w:fill="auto"/>
            <w:vAlign w:val="center"/>
            <w:hideMark/>
          </w:tcPr>
          <w:p w14:paraId="0850D73C"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20,000.00</w:t>
            </w:r>
          </w:p>
        </w:tc>
        <w:tc>
          <w:tcPr>
            <w:tcW w:w="1120" w:type="dxa"/>
            <w:shd w:val="clear" w:color="auto" w:fill="auto"/>
            <w:vAlign w:val="center"/>
            <w:hideMark/>
          </w:tcPr>
          <w:p w14:paraId="205DDF75"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20,000.00</w:t>
            </w:r>
          </w:p>
        </w:tc>
        <w:tc>
          <w:tcPr>
            <w:tcW w:w="3828" w:type="dxa"/>
            <w:shd w:val="clear" w:color="auto" w:fill="auto"/>
            <w:vAlign w:val="center"/>
            <w:hideMark/>
          </w:tcPr>
          <w:p w14:paraId="4C5249FE" w14:textId="730DDD4A"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Permitirá suministrar Diesel a las plantas de emergencia, equipo de jardinería y limpieza</w:t>
            </w:r>
          </w:p>
        </w:tc>
      </w:tr>
      <w:tr w:rsidR="009C6356" w:rsidRPr="00FA779D" w14:paraId="1A831C90" w14:textId="77777777" w:rsidTr="0056302C">
        <w:trPr>
          <w:trHeight w:val="720"/>
          <w:jc w:val="center"/>
        </w:trPr>
        <w:tc>
          <w:tcPr>
            <w:tcW w:w="833" w:type="dxa"/>
            <w:shd w:val="clear" w:color="auto" w:fill="auto"/>
            <w:vAlign w:val="center"/>
            <w:hideMark/>
          </w:tcPr>
          <w:p w14:paraId="319B1CE0" w14:textId="77777777" w:rsidR="009C6356" w:rsidRPr="00FA779D" w:rsidRDefault="009C6356" w:rsidP="0056302C">
            <w:pPr>
              <w:contextualSpacing/>
              <w:jc w:val="center"/>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31101</w:t>
            </w:r>
          </w:p>
        </w:tc>
        <w:tc>
          <w:tcPr>
            <w:tcW w:w="2126" w:type="dxa"/>
            <w:shd w:val="clear" w:color="auto" w:fill="auto"/>
            <w:vAlign w:val="center"/>
            <w:hideMark/>
          </w:tcPr>
          <w:p w14:paraId="26AF9C50"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Servicio de energía eléctrica</w:t>
            </w:r>
          </w:p>
        </w:tc>
        <w:tc>
          <w:tcPr>
            <w:tcW w:w="1276" w:type="dxa"/>
            <w:shd w:val="clear" w:color="auto" w:fill="auto"/>
            <w:vAlign w:val="center"/>
            <w:hideMark/>
          </w:tcPr>
          <w:p w14:paraId="3A0C61DC"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3,982,500.00</w:t>
            </w:r>
          </w:p>
        </w:tc>
        <w:tc>
          <w:tcPr>
            <w:tcW w:w="1289" w:type="dxa"/>
            <w:shd w:val="clear" w:color="auto" w:fill="auto"/>
            <w:vAlign w:val="center"/>
            <w:hideMark/>
          </w:tcPr>
          <w:p w14:paraId="081302A0"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4,395,000.00</w:t>
            </w:r>
          </w:p>
        </w:tc>
        <w:tc>
          <w:tcPr>
            <w:tcW w:w="1120" w:type="dxa"/>
            <w:shd w:val="clear" w:color="auto" w:fill="auto"/>
            <w:vAlign w:val="center"/>
            <w:hideMark/>
          </w:tcPr>
          <w:p w14:paraId="5C587576"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412,500.00</w:t>
            </w:r>
          </w:p>
        </w:tc>
        <w:tc>
          <w:tcPr>
            <w:tcW w:w="3828" w:type="dxa"/>
            <w:shd w:val="clear" w:color="auto" w:fill="auto"/>
            <w:vAlign w:val="center"/>
            <w:hideMark/>
          </w:tcPr>
          <w:p w14:paraId="489F18B1"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Se requiere del servicio de energía eléctrica para el funcionamiento de equipo de cómputo, aires, pantallas, luz en oficinas, etc.</w:t>
            </w:r>
          </w:p>
        </w:tc>
      </w:tr>
      <w:tr w:rsidR="009C6356" w:rsidRPr="00FA779D" w14:paraId="1DC12A4A" w14:textId="77777777" w:rsidTr="0056302C">
        <w:trPr>
          <w:trHeight w:val="480"/>
          <w:jc w:val="center"/>
        </w:trPr>
        <w:tc>
          <w:tcPr>
            <w:tcW w:w="833" w:type="dxa"/>
            <w:shd w:val="clear" w:color="auto" w:fill="auto"/>
            <w:vAlign w:val="center"/>
            <w:hideMark/>
          </w:tcPr>
          <w:p w14:paraId="32EB871F" w14:textId="77777777" w:rsidR="009C6356" w:rsidRPr="00FA779D" w:rsidRDefault="009C6356" w:rsidP="0056302C">
            <w:pPr>
              <w:contextualSpacing/>
              <w:jc w:val="center"/>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31301</w:t>
            </w:r>
          </w:p>
        </w:tc>
        <w:tc>
          <w:tcPr>
            <w:tcW w:w="2126" w:type="dxa"/>
            <w:shd w:val="clear" w:color="auto" w:fill="auto"/>
            <w:vAlign w:val="center"/>
            <w:hideMark/>
          </w:tcPr>
          <w:p w14:paraId="10AB7CB1"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Servicio de agua</w:t>
            </w:r>
          </w:p>
        </w:tc>
        <w:tc>
          <w:tcPr>
            <w:tcW w:w="1276" w:type="dxa"/>
            <w:shd w:val="clear" w:color="auto" w:fill="auto"/>
            <w:vAlign w:val="center"/>
            <w:hideMark/>
          </w:tcPr>
          <w:p w14:paraId="1DDB5045"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301,300.00</w:t>
            </w:r>
          </w:p>
        </w:tc>
        <w:tc>
          <w:tcPr>
            <w:tcW w:w="1289" w:type="dxa"/>
            <w:shd w:val="clear" w:color="auto" w:fill="auto"/>
            <w:vAlign w:val="center"/>
            <w:hideMark/>
          </w:tcPr>
          <w:p w14:paraId="01A322DD"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321,980.00</w:t>
            </w:r>
          </w:p>
        </w:tc>
        <w:tc>
          <w:tcPr>
            <w:tcW w:w="1120" w:type="dxa"/>
            <w:shd w:val="clear" w:color="auto" w:fill="auto"/>
            <w:vAlign w:val="center"/>
            <w:hideMark/>
          </w:tcPr>
          <w:p w14:paraId="6A7D29CF"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20,680.00</w:t>
            </w:r>
          </w:p>
        </w:tc>
        <w:tc>
          <w:tcPr>
            <w:tcW w:w="3828" w:type="dxa"/>
            <w:shd w:val="clear" w:color="auto" w:fill="auto"/>
            <w:vAlign w:val="center"/>
            <w:hideMark/>
          </w:tcPr>
          <w:p w14:paraId="5EB9ECE0"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Elemento de primera necesidad en el área de CIDE Región Centro</w:t>
            </w:r>
          </w:p>
        </w:tc>
      </w:tr>
      <w:tr w:rsidR="009C6356" w:rsidRPr="00FA779D" w14:paraId="55E50FEA" w14:textId="77777777" w:rsidTr="0056302C">
        <w:trPr>
          <w:trHeight w:val="960"/>
          <w:jc w:val="center"/>
        </w:trPr>
        <w:tc>
          <w:tcPr>
            <w:tcW w:w="833" w:type="dxa"/>
            <w:shd w:val="clear" w:color="auto" w:fill="auto"/>
            <w:vAlign w:val="center"/>
            <w:hideMark/>
          </w:tcPr>
          <w:p w14:paraId="1680155A" w14:textId="77777777" w:rsidR="009C6356" w:rsidRPr="00FA779D" w:rsidRDefault="009C6356" w:rsidP="0056302C">
            <w:pPr>
              <w:contextualSpacing/>
              <w:jc w:val="center"/>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35501</w:t>
            </w:r>
          </w:p>
        </w:tc>
        <w:tc>
          <w:tcPr>
            <w:tcW w:w="2126" w:type="dxa"/>
            <w:shd w:val="clear" w:color="auto" w:fill="auto"/>
            <w:vAlign w:val="center"/>
            <w:hideMark/>
          </w:tcPr>
          <w:p w14:paraId="4ABFE793"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Mantenimiento y conservación de vehículos terrestres, aéreos, marítimos, lacustres y fluviales</w:t>
            </w:r>
          </w:p>
        </w:tc>
        <w:tc>
          <w:tcPr>
            <w:tcW w:w="1276" w:type="dxa"/>
            <w:shd w:val="clear" w:color="auto" w:fill="auto"/>
            <w:vAlign w:val="center"/>
            <w:hideMark/>
          </w:tcPr>
          <w:p w14:paraId="3F23CFFD"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244,954.00</w:t>
            </w:r>
          </w:p>
        </w:tc>
        <w:tc>
          <w:tcPr>
            <w:tcW w:w="1289" w:type="dxa"/>
            <w:shd w:val="clear" w:color="auto" w:fill="auto"/>
            <w:vAlign w:val="center"/>
            <w:hideMark/>
          </w:tcPr>
          <w:p w14:paraId="5BEEF1BA"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332,000.00</w:t>
            </w:r>
          </w:p>
        </w:tc>
        <w:tc>
          <w:tcPr>
            <w:tcW w:w="1120" w:type="dxa"/>
            <w:shd w:val="clear" w:color="auto" w:fill="auto"/>
            <w:vAlign w:val="center"/>
            <w:hideMark/>
          </w:tcPr>
          <w:p w14:paraId="78BC5E15"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87,046.00</w:t>
            </w:r>
          </w:p>
        </w:tc>
        <w:tc>
          <w:tcPr>
            <w:tcW w:w="3828" w:type="dxa"/>
            <w:shd w:val="clear" w:color="auto" w:fill="auto"/>
            <w:vAlign w:val="center"/>
            <w:hideMark/>
          </w:tcPr>
          <w:p w14:paraId="6D7252F2" w14:textId="5CE90912"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Permitirá mejorar las condiciones de los vehículos y que estén en condiciones óptimas para las verificaciones. El</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mantenimiento automotriz</w:t>
            </w:r>
            <w:r w:rsidRPr="00FA779D">
              <w:rPr>
                <w:rFonts w:ascii="Cambria" w:eastAsia="Times New Roman" w:hAnsi="Cambria" w:cs="Cambria"/>
                <w:color w:val="000000"/>
                <w:sz w:val="16"/>
                <w:szCs w:val="16"/>
                <w:lang w:val="es-MX" w:eastAsia="es-MX"/>
              </w:rPr>
              <w:t> </w:t>
            </w:r>
            <w:r w:rsidRPr="00FA779D">
              <w:rPr>
                <w:rFonts w:ascii="Montserrat" w:eastAsia="Times New Roman" w:hAnsi="Montserrat" w:cs="Times New Roman"/>
                <w:color w:val="000000"/>
                <w:sz w:val="16"/>
                <w:szCs w:val="16"/>
                <w:lang w:val="es-MX" w:eastAsia="es-MX"/>
              </w:rPr>
              <w:t>es muy importante para mantener la buena funcionalidad de la flotilla</w:t>
            </w:r>
          </w:p>
        </w:tc>
      </w:tr>
      <w:tr w:rsidR="009C6356" w:rsidRPr="00FA779D" w14:paraId="76A28E2C" w14:textId="77777777" w:rsidTr="0056302C">
        <w:trPr>
          <w:trHeight w:val="720"/>
          <w:jc w:val="center"/>
        </w:trPr>
        <w:tc>
          <w:tcPr>
            <w:tcW w:w="833" w:type="dxa"/>
            <w:shd w:val="clear" w:color="auto" w:fill="auto"/>
            <w:vAlign w:val="center"/>
            <w:hideMark/>
          </w:tcPr>
          <w:p w14:paraId="4FA0638A" w14:textId="77777777" w:rsidR="009C6356" w:rsidRPr="00FA779D" w:rsidRDefault="009C6356" w:rsidP="0056302C">
            <w:pPr>
              <w:contextualSpacing/>
              <w:jc w:val="center"/>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39801</w:t>
            </w:r>
          </w:p>
        </w:tc>
        <w:tc>
          <w:tcPr>
            <w:tcW w:w="2126" w:type="dxa"/>
            <w:shd w:val="clear" w:color="auto" w:fill="auto"/>
            <w:vAlign w:val="center"/>
            <w:hideMark/>
          </w:tcPr>
          <w:p w14:paraId="571795AD" w14:textId="77777777" w:rsidR="009C6356" w:rsidRPr="00FA779D" w:rsidRDefault="009C6356" w:rsidP="0056302C">
            <w:pPr>
              <w:contextualSpacing/>
              <w:jc w:val="both"/>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Impuesto sobre nóminas</w:t>
            </w:r>
          </w:p>
        </w:tc>
        <w:tc>
          <w:tcPr>
            <w:tcW w:w="1276" w:type="dxa"/>
            <w:shd w:val="clear" w:color="auto" w:fill="auto"/>
            <w:vAlign w:val="center"/>
            <w:hideMark/>
          </w:tcPr>
          <w:p w14:paraId="3ED5E0F2"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7,442,093.00</w:t>
            </w:r>
          </w:p>
        </w:tc>
        <w:tc>
          <w:tcPr>
            <w:tcW w:w="1289" w:type="dxa"/>
            <w:shd w:val="clear" w:color="auto" w:fill="auto"/>
            <w:vAlign w:val="center"/>
            <w:hideMark/>
          </w:tcPr>
          <w:p w14:paraId="2E236840"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9,259,231.83</w:t>
            </w:r>
          </w:p>
        </w:tc>
        <w:tc>
          <w:tcPr>
            <w:tcW w:w="1120" w:type="dxa"/>
            <w:shd w:val="clear" w:color="auto" w:fill="auto"/>
            <w:vAlign w:val="center"/>
            <w:hideMark/>
          </w:tcPr>
          <w:p w14:paraId="1F632BE7" w14:textId="77777777" w:rsidR="009C6356" w:rsidRPr="00FA779D" w:rsidRDefault="009C6356" w:rsidP="0056302C">
            <w:pPr>
              <w:contextualSpacing/>
              <w:jc w:val="right"/>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1,817,138.83</w:t>
            </w:r>
          </w:p>
        </w:tc>
        <w:tc>
          <w:tcPr>
            <w:tcW w:w="3828" w:type="dxa"/>
            <w:shd w:val="clear" w:color="auto" w:fill="auto"/>
            <w:vAlign w:val="center"/>
            <w:hideMark/>
          </w:tcPr>
          <w:p w14:paraId="3A980FCA" w14:textId="77777777" w:rsidR="009C6356" w:rsidRPr="00FA779D" w:rsidRDefault="009C6356" w:rsidP="0056302C">
            <w:pPr>
              <w:contextualSpacing/>
              <w:rPr>
                <w:rFonts w:ascii="Montserrat" w:eastAsia="Times New Roman" w:hAnsi="Montserrat" w:cs="Times New Roman"/>
                <w:color w:val="000000"/>
                <w:sz w:val="16"/>
                <w:szCs w:val="16"/>
                <w:lang w:val="es-MX" w:eastAsia="es-MX"/>
              </w:rPr>
            </w:pPr>
            <w:r w:rsidRPr="00FA779D">
              <w:rPr>
                <w:rFonts w:ascii="Montserrat" w:eastAsia="Times New Roman" w:hAnsi="Montserrat" w:cs="Times New Roman"/>
                <w:color w:val="000000"/>
                <w:sz w:val="16"/>
                <w:szCs w:val="16"/>
                <w:lang w:val="es-MX" w:eastAsia="es-MX"/>
              </w:rPr>
              <w:t>Cumplimiento a la normatividad, Art.67 Ley de Hacienda del Estado de Aguascalientes y Artículo 158 del código fiscal de la Ciudad de México.</w:t>
            </w:r>
          </w:p>
        </w:tc>
      </w:tr>
      <w:tr w:rsidR="009C6356" w:rsidRPr="00FA779D" w14:paraId="2878B3C4" w14:textId="77777777" w:rsidTr="0056302C">
        <w:trPr>
          <w:trHeight w:val="300"/>
          <w:jc w:val="center"/>
        </w:trPr>
        <w:tc>
          <w:tcPr>
            <w:tcW w:w="5524" w:type="dxa"/>
            <w:gridSpan w:val="4"/>
            <w:shd w:val="clear" w:color="auto" w:fill="DBE5F1" w:themeFill="accent1" w:themeFillTint="33"/>
            <w:noWrap/>
            <w:vAlign w:val="center"/>
            <w:hideMark/>
          </w:tcPr>
          <w:p w14:paraId="55352D5D" w14:textId="77777777" w:rsidR="009C6356" w:rsidRPr="00FA779D" w:rsidRDefault="009C6356" w:rsidP="0056302C">
            <w:pPr>
              <w:contextualSpacing/>
              <w:rPr>
                <w:rFonts w:ascii="Montserrat" w:eastAsia="Times New Roman" w:hAnsi="Montserrat" w:cs="Times New Roman"/>
                <w:b/>
                <w:bCs/>
                <w:sz w:val="16"/>
                <w:szCs w:val="16"/>
                <w:lang w:val="es-MX" w:eastAsia="es-MX"/>
              </w:rPr>
            </w:pPr>
            <w:r w:rsidRPr="00FA779D">
              <w:rPr>
                <w:rFonts w:ascii="Montserrat" w:eastAsia="Times New Roman" w:hAnsi="Montserrat" w:cs="Times New Roman"/>
                <w:b/>
                <w:bCs/>
                <w:sz w:val="16"/>
                <w:szCs w:val="16"/>
                <w:lang w:val="es-MX" w:eastAsia="es-MX"/>
              </w:rPr>
              <w:t>Total</w:t>
            </w:r>
          </w:p>
        </w:tc>
        <w:tc>
          <w:tcPr>
            <w:tcW w:w="4948" w:type="dxa"/>
            <w:gridSpan w:val="2"/>
            <w:shd w:val="clear" w:color="auto" w:fill="DBE5F1" w:themeFill="accent1" w:themeFillTint="33"/>
            <w:noWrap/>
            <w:vAlign w:val="center"/>
            <w:hideMark/>
          </w:tcPr>
          <w:p w14:paraId="741A1A87" w14:textId="77777777" w:rsidR="009C6356" w:rsidRPr="00FA779D" w:rsidRDefault="009C6356" w:rsidP="0056302C">
            <w:pPr>
              <w:contextualSpacing/>
              <w:rPr>
                <w:rFonts w:ascii="Montserrat" w:eastAsia="Times New Roman" w:hAnsi="Montserrat" w:cs="Times New Roman"/>
                <w:b/>
                <w:bCs/>
                <w:sz w:val="16"/>
                <w:szCs w:val="16"/>
                <w:lang w:val="es-MX" w:eastAsia="es-MX"/>
              </w:rPr>
            </w:pPr>
            <w:r w:rsidRPr="00FA779D">
              <w:rPr>
                <w:rFonts w:ascii="Montserrat" w:eastAsia="Times New Roman" w:hAnsi="Montserrat" w:cs="Times New Roman"/>
                <w:b/>
                <w:bCs/>
                <w:sz w:val="16"/>
                <w:szCs w:val="16"/>
                <w:lang w:val="es-MX" w:eastAsia="es-MX"/>
              </w:rPr>
              <w:t>2,357,364.83</w:t>
            </w:r>
          </w:p>
        </w:tc>
      </w:tr>
    </w:tbl>
    <w:p w14:paraId="05176814" w14:textId="6E0073C5" w:rsidR="009C6356" w:rsidRPr="003C2137" w:rsidRDefault="009C6356" w:rsidP="009C6356">
      <w:pPr>
        <w:pStyle w:val="Prrafodelista"/>
        <w:ind w:left="142"/>
        <w:jc w:val="both"/>
        <w:rPr>
          <w:rFonts w:ascii="Montserrat" w:hAnsi="Montserrat"/>
          <w:sz w:val="22"/>
          <w:szCs w:val="22"/>
        </w:rPr>
      </w:pPr>
    </w:p>
    <w:p w14:paraId="226648BA" w14:textId="3E88ED22" w:rsidR="009C6356" w:rsidRPr="003C2137" w:rsidRDefault="009C6356" w:rsidP="000E3168">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Estas partidas fueron enviadas a CONACYT para su consideración y valoración, con la debida justificación.</w:t>
      </w:r>
    </w:p>
    <w:p w14:paraId="505CF76C" w14:textId="77777777" w:rsidR="009C6356" w:rsidRPr="003C2137" w:rsidRDefault="009C6356" w:rsidP="009C6356">
      <w:pPr>
        <w:pStyle w:val="Prrafodelista"/>
        <w:ind w:left="142"/>
        <w:jc w:val="both"/>
        <w:rPr>
          <w:rFonts w:ascii="Montserrat" w:hAnsi="Montserrat"/>
          <w:sz w:val="22"/>
          <w:szCs w:val="22"/>
        </w:rPr>
      </w:pPr>
    </w:p>
    <w:p w14:paraId="46B817D3" w14:textId="7FC788FE" w:rsidR="009C6356" w:rsidRPr="00096D3A" w:rsidRDefault="0025107E" w:rsidP="00096D3A">
      <w:pPr>
        <w:pStyle w:val="Prrafodelista"/>
        <w:numPr>
          <w:ilvl w:val="0"/>
          <w:numId w:val="1"/>
        </w:numPr>
        <w:spacing w:before="120"/>
        <w:contextualSpacing w:val="0"/>
        <w:jc w:val="both"/>
        <w:rPr>
          <w:rFonts w:ascii="Montserrat" w:hAnsi="Montserrat"/>
          <w:b/>
          <w:bCs/>
          <w:sz w:val="22"/>
          <w:szCs w:val="22"/>
        </w:rPr>
      </w:pPr>
      <w:r w:rsidRPr="003C2137">
        <w:rPr>
          <w:rFonts w:ascii="Montserrat" w:hAnsi="Montserrat"/>
          <w:b/>
          <w:bCs/>
          <w:sz w:val="22"/>
          <w:szCs w:val="22"/>
        </w:rPr>
        <w:t>Acciones pendientes</w:t>
      </w:r>
    </w:p>
    <w:p w14:paraId="6665A23C" w14:textId="6F38F5C1" w:rsidR="00610590" w:rsidRDefault="002270EE" w:rsidP="00096D3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A la fecha el CIDE está a la espera de la aprobación del Anteproyecto enviado a CONACYT, por parte del H. Congreso de la Unión y continuar con</w:t>
      </w:r>
      <w:r w:rsidR="001D318E" w:rsidRPr="003C2137">
        <w:rPr>
          <w:rFonts w:ascii="Montserrat" w:hAnsi="Montserrat"/>
          <w:sz w:val="22"/>
          <w:szCs w:val="22"/>
        </w:rPr>
        <w:t xml:space="preserve"> la calendarización mensual del recurso fiscal para el periodo enero – </w:t>
      </w:r>
      <w:r w:rsidR="001D318E" w:rsidRPr="003C2137">
        <w:rPr>
          <w:rFonts w:ascii="Montserrat" w:hAnsi="Montserrat"/>
          <w:sz w:val="22"/>
          <w:szCs w:val="22"/>
        </w:rPr>
        <w:lastRenderedPageBreak/>
        <w:t>diciembre del 2022.</w:t>
      </w:r>
      <w:r w:rsidR="00FA779D">
        <w:rPr>
          <w:rFonts w:ascii="Montserrat" w:hAnsi="Montserrat"/>
          <w:sz w:val="22"/>
          <w:szCs w:val="22"/>
        </w:rPr>
        <w:t xml:space="preserve"> </w:t>
      </w:r>
      <w:r w:rsidR="00610590" w:rsidRPr="003C2137">
        <w:rPr>
          <w:rFonts w:ascii="Montserrat" w:hAnsi="Montserrat"/>
          <w:sz w:val="22"/>
          <w:szCs w:val="22"/>
        </w:rPr>
        <w:t>Actualmente se está trabajando con el responsable del Sistema Evolution para que una vez que se cuente con la aprobación del Anteproyecto antes mencionada, se esté en posibilidad de realizar la carga del Presupuesto 2022 en dicho Sistema por primera vez a nivel de centro de costos, con el objetivo de tener una mejor trazabilidad del gasto y poder dar seguimiento al uso de los recursos del CIDE.</w:t>
      </w:r>
    </w:p>
    <w:p w14:paraId="5E9D74E0" w14:textId="7F5AC414" w:rsidR="00096D3A" w:rsidRPr="00096D3A" w:rsidRDefault="00096D3A" w:rsidP="00096D3A">
      <w:pPr>
        <w:pStyle w:val="Prrafodelista"/>
        <w:numPr>
          <w:ilvl w:val="0"/>
          <w:numId w:val="1"/>
        </w:numPr>
        <w:spacing w:before="120"/>
        <w:contextualSpacing w:val="0"/>
        <w:jc w:val="both"/>
        <w:rPr>
          <w:rFonts w:ascii="Montserrat" w:hAnsi="Montserrat"/>
          <w:b/>
          <w:bCs/>
          <w:sz w:val="22"/>
          <w:szCs w:val="22"/>
        </w:rPr>
      </w:pPr>
      <w:r w:rsidRPr="003C2137">
        <w:rPr>
          <w:rFonts w:ascii="Montserrat" w:hAnsi="Montserrat"/>
          <w:b/>
          <w:bCs/>
          <w:sz w:val="22"/>
          <w:szCs w:val="22"/>
        </w:rPr>
        <w:t xml:space="preserve">Fundamentación </w:t>
      </w:r>
    </w:p>
    <w:p w14:paraId="59999EDF" w14:textId="77777777" w:rsidR="00096D3A" w:rsidRPr="00FD361F" w:rsidRDefault="00096D3A" w:rsidP="00096D3A">
      <w:pPr>
        <w:pStyle w:val="Prrafodelista"/>
        <w:spacing w:before="120"/>
        <w:ind w:left="0"/>
        <w:contextualSpacing w:val="0"/>
        <w:jc w:val="both"/>
        <w:rPr>
          <w:rFonts w:ascii="Montserrat" w:hAnsi="Montserrat"/>
          <w:sz w:val="22"/>
          <w:szCs w:val="22"/>
        </w:rPr>
      </w:pPr>
      <w:r w:rsidRPr="003C2137">
        <w:rPr>
          <w:rFonts w:ascii="Montserrat" w:hAnsi="Montserrat"/>
          <w:sz w:val="22"/>
          <w:szCs w:val="22"/>
        </w:rPr>
        <w:t>Ley Orgánica de la Administración Pública Federal, artículo 31</w:t>
      </w:r>
      <w:r>
        <w:rPr>
          <w:rFonts w:ascii="Montserrat" w:hAnsi="Montserrat"/>
          <w:sz w:val="22"/>
          <w:szCs w:val="22"/>
        </w:rPr>
        <w:t xml:space="preserve">; </w:t>
      </w:r>
      <w:r w:rsidRPr="00FD361F">
        <w:rPr>
          <w:rFonts w:ascii="Montserrat" w:hAnsi="Montserrat"/>
          <w:sz w:val="22"/>
          <w:szCs w:val="22"/>
        </w:rPr>
        <w:t>Ley Federal de Presupuesto y Responsabilidad Hacendaria (LFP</w:t>
      </w:r>
      <w:r w:rsidRPr="00FD361F">
        <w:rPr>
          <w:rFonts w:ascii="Montserrat" w:eastAsia="Calibri" w:hAnsi="Montserrat" w:cs="Calibri"/>
          <w:sz w:val="22"/>
          <w:szCs w:val="22"/>
        </w:rPr>
        <w:t>R</w:t>
      </w:r>
      <w:r w:rsidRPr="00FD361F">
        <w:rPr>
          <w:rFonts w:ascii="Montserrat" w:hAnsi="Montserrat"/>
          <w:sz w:val="22"/>
          <w:szCs w:val="22"/>
        </w:rPr>
        <w:t>H), artículos 3, 6, 7, 13, 24, 25, 27, 28, 29 y 34</w:t>
      </w:r>
      <w:r>
        <w:rPr>
          <w:rFonts w:ascii="Montserrat" w:hAnsi="Montserrat"/>
          <w:sz w:val="22"/>
          <w:szCs w:val="22"/>
        </w:rPr>
        <w:t xml:space="preserve">; </w:t>
      </w:r>
      <w:r w:rsidRPr="00FD361F">
        <w:rPr>
          <w:rFonts w:ascii="Montserrat" w:hAnsi="Montserrat"/>
          <w:sz w:val="22"/>
          <w:szCs w:val="22"/>
        </w:rPr>
        <w:t>Reglamento de la Ley Federal de Presupuesto y Responsabilidad Hacendaria (RLFPRH), artículos 1, 7, 9, 10, 21, 22, 23, 24, 25, 26, 27, 28, 49 y 56</w:t>
      </w:r>
      <w:r>
        <w:rPr>
          <w:rFonts w:ascii="Montserrat" w:hAnsi="Montserrat"/>
          <w:sz w:val="22"/>
          <w:szCs w:val="22"/>
        </w:rPr>
        <w:t xml:space="preserve">; </w:t>
      </w:r>
      <w:r w:rsidRPr="00FD361F">
        <w:rPr>
          <w:rFonts w:ascii="Montserrat" w:hAnsi="Montserrat"/>
          <w:sz w:val="22"/>
          <w:szCs w:val="22"/>
        </w:rPr>
        <w:t>Reglamento interior de la Secretaría de Hacienda y Crédito Público, Articulo 62</w:t>
      </w:r>
      <w:r>
        <w:rPr>
          <w:rFonts w:ascii="Montserrat" w:hAnsi="Montserrat"/>
          <w:sz w:val="22"/>
          <w:szCs w:val="22"/>
        </w:rPr>
        <w:t xml:space="preserve">; </w:t>
      </w:r>
      <w:r w:rsidRPr="00FD361F">
        <w:rPr>
          <w:rFonts w:ascii="Montserrat" w:hAnsi="Montserrat"/>
          <w:sz w:val="22"/>
          <w:szCs w:val="22"/>
        </w:rPr>
        <w:t>Ley de Ciencia y Tecnología, artículos 6,9,10,22,56,59 y 62</w:t>
      </w:r>
      <w:r>
        <w:rPr>
          <w:rFonts w:ascii="Montserrat" w:hAnsi="Montserrat"/>
          <w:sz w:val="22"/>
          <w:szCs w:val="22"/>
        </w:rPr>
        <w:t xml:space="preserve">; </w:t>
      </w:r>
      <w:r w:rsidRPr="00FD361F">
        <w:rPr>
          <w:rFonts w:ascii="Montserrat" w:hAnsi="Montserrat"/>
          <w:sz w:val="22"/>
          <w:szCs w:val="22"/>
        </w:rPr>
        <w:t>Manual de Organización del Centro de Investigación y Docencia Económicas, A.C.</w:t>
      </w:r>
      <w:r>
        <w:rPr>
          <w:rFonts w:ascii="Montserrat" w:hAnsi="Montserrat"/>
          <w:sz w:val="22"/>
          <w:szCs w:val="22"/>
        </w:rPr>
        <w:t xml:space="preserve">; </w:t>
      </w:r>
      <w:r w:rsidRPr="00FD361F">
        <w:rPr>
          <w:rFonts w:ascii="Montserrat" w:hAnsi="Montserrat" w:cs="Arial"/>
          <w:color w:val="000000"/>
          <w:sz w:val="22"/>
          <w:szCs w:val="22"/>
          <w:lang w:val="es-MX"/>
        </w:rPr>
        <w:t>Estatuto General del Centro de Investigación y Docencia Económicas</w:t>
      </w:r>
      <w:r w:rsidRPr="00FD361F">
        <w:rPr>
          <w:rFonts w:ascii="Montserrat" w:hAnsi="Montserrat"/>
          <w:sz w:val="22"/>
          <w:szCs w:val="22"/>
        </w:rPr>
        <w:t xml:space="preserve"> A</w:t>
      </w:r>
      <w:r w:rsidRPr="00FD361F">
        <w:rPr>
          <w:rFonts w:ascii="Montserrat" w:hAnsi="Montserrat" w:cs="Arial"/>
          <w:color w:val="000000"/>
          <w:sz w:val="22"/>
          <w:szCs w:val="22"/>
          <w:lang w:val="es-MX"/>
        </w:rPr>
        <w:t>.</w:t>
      </w:r>
      <w:r w:rsidRPr="00FD361F">
        <w:rPr>
          <w:rFonts w:ascii="Montserrat" w:hAnsi="Montserrat"/>
          <w:sz w:val="22"/>
          <w:szCs w:val="22"/>
        </w:rPr>
        <w:t>C</w:t>
      </w:r>
      <w:r w:rsidRPr="00FD361F">
        <w:rPr>
          <w:rFonts w:ascii="Montserrat" w:hAnsi="Montserrat" w:cs="Arial"/>
          <w:color w:val="000000"/>
          <w:sz w:val="22"/>
          <w:szCs w:val="22"/>
          <w:lang w:val="es-MX"/>
        </w:rPr>
        <w:t>.</w:t>
      </w:r>
      <w:r>
        <w:rPr>
          <w:rFonts w:ascii="Montserrat" w:hAnsi="Montserrat" w:cs="Arial"/>
          <w:color w:val="000000"/>
          <w:sz w:val="22"/>
          <w:szCs w:val="22"/>
          <w:lang w:val="es-MX"/>
        </w:rPr>
        <w:t xml:space="preserve">; </w:t>
      </w:r>
      <w:r w:rsidRPr="00FD361F">
        <w:rPr>
          <w:rFonts w:ascii="Montserrat" w:hAnsi="Montserrat"/>
          <w:sz w:val="22"/>
          <w:szCs w:val="22"/>
        </w:rPr>
        <w:t>Lineamientos para el proceso de programación y presupuestación para el ejercicio fiscal 2022, emitidos por la UPCP de la SHCP</w:t>
      </w:r>
    </w:p>
    <w:p w14:paraId="7738DB2E" w14:textId="77777777" w:rsidR="00096D3A" w:rsidRPr="003C2137" w:rsidRDefault="00096D3A" w:rsidP="00610590">
      <w:pPr>
        <w:pStyle w:val="Prrafodelista"/>
        <w:ind w:left="0"/>
        <w:jc w:val="both"/>
        <w:rPr>
          <w:rFonts w:ascii="Montserrat" w:hAnsi="Montserrat"/>
          <w:sz w:val="22"/>
          <w:szCs w:val="22"/>
        </w:rPr>
      </w:pPr>
    </w:p>
    <w:p w14:paraId="05ED11D8" w14:textId="77777777" w:rsidR="0025107E" w:rsidRPr="003C2137" w:rsidRDefault="0025107E" w:rsidP="00322C8F">
      <w:pPr>
        <w:jc w:val="both"/>
        <w:rPr>
          <w:rFonts w:ascii="Montserrat" w:hAnsi="Montserrat"/>
          <w:sz w:val="22"/>
          <w:szCs w:val="22"/>
        </w:rPr>
      </w:pPr>
    </w:p>
    <w:sectPr w:rsidR="0025107E" w:rsidRPr="003C2137" w:rsidSect="00CC14FA">
      <w:headerReference w:type="even" r:id="rId8"/>
      <w:headerReference w:type="default" r:id="rId9"/>
      <w:footerReference w:type="even" r:id="rId10"/>
      <w:footerReference w:type="default" r:id="rId11"/>
      <w:headerReference w:type="first" r:id="rId12"/>
      <w:footerReference w:type="first" r:id="rId13"/>
      <w:pgSz w:w="12240" w:h="15840"/>
      <w:pgMar w:top="2552" w:right="1134" w:bottom="198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4CAE1B" w14:textId="77777777" w:rsidR="00D24B47" w:rsidRDefault="00D24B47" w:rsidP="005C6F62">
      <w:r>
        <w:separator/>
      </w:r>
    </w:p>
  </w:endnote>
  <w:endnote w:type="continuationSeparator" w:id="0">
    <w:p w14:paraId="1343026B" w14:textId="77777777" w:rsidR="00D24B47" w:rsidRDefault="00D24B47" w:rsidP="005C6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Montserrat">
    <w:altName w:val="Calibri"/>
    <w:panose1 w:val="020B0604020202020204"/>
    <w:charset w:val="00"/>
    <w:family w:val="auto"/>
    <w:pitch w:val="variable"/>
    <w:sig w:usb0="8000002F" w:usb1="4000204A"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AA13F" w14:textId="77777777" w:rsidR="00F356C8" w:rsidRDefault="00F356C8">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EA115" w14:textId="77777777" w:rsidR="00F356C8" w:rsidRDefault="00F356C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164B" w14:textId="77777777" w:rsidR="00F356C8" w:rsidRDefault="00F356C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87B95" w14:textId="77777777" w:rsidR="00D24B47" w:rsidRDefault="00D24B47" w:rsidP="005C6F62">
      <w:r>
        <w:separator/>
      </w:r>
    </w:p>
  </w:footnote>
  <w:footnote w:type="continuationSeparator" w:id="0">
    <w:p w14:paraId="59E923C6" w14:textId="77777777" w:rsidR="00D24B47" w:rsidRDefault="00D24B47" w:rsidP="005C6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DE67B" w14:textId="77777777" w:rsidR="00F356C8" w:rsidRDefault="00F356C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F2995" w14:textId="0E0CCFA1" w:rsidR="005C6F62" w:rsidRDefault="003B277E">
    <w:pPr>
      <w:pStyle w:val="Encabezado"/>
    </w:pPr>
    <w:r>
      <w:rPr>
        <w:noProof/>
        <w:lang w:val="es-ES"/>
      </w:rPr>
      <w:drawing>
        <wp:anchor distT="0" distB="0" distL="114300" distR="114300" simplePos="0" relativeHeight="251658240" behindDoc="1" locked="0" layoutInCell="1" allowOverlap="1" wp14:anchorId="1C860219" wp14:editId="438ED88F">
          <wp:simplePos x="0" y="0"/>
          <wp:positionH relativeFrom="margin">
            <wp:align>center</wp:align>
          </wp:positionH>
          <wp:positionV relativeFrom="paragraph">
            <wp:posOffset>-456565</wp:posOffset>
          </wp:positionV>
          <wp:extent cx="7794655" cy="10087200"/>
          <wp:effectExtent l="0" t="0" r="317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stretch>
                    <a:fillRect/>
                  </a:stretch>
                </pic:blipFill>
                <pic:spPr>
                  <a:xfrm>
                    <a:off x="0" y="0"/>
                    <a:ext cx="7793225" cy="1008535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A3CD0" w14:textId="77777777" w:rsidR="00F356C8" w:rsidRDefault="00F356C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E1004"/>
    <w:multiLevelType w:val="hybridMultilevel"/>
    <w:tmpl w:val="4656B9F4"/>
    <w:lvl w:ilvl="0" w:tplc="080A0001">
      <w:start w:val="1"/>
      <w:numFmt w:val="bullet"/>
      <w:lvlText w:val=""/>
      <w:lvlJc w:val="left"/>
      <w:pPr>
        <w:ind w:left="502" w:hanging="360"/>
      </w:pPr>
      <w:rPr>
        <w:rFonts w:ascii="Symbol" w:hAnsi="Symbo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1" w15:restartNumberingAfterBreak="0">
    <w:nsid w:val="1A4D4454"/>
    <w:multiLevelType w:val="hybridMultilevel"/>
    <w:tmpl w:val="3BDE378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28853618"/>
    <w:multiLevelType w:val="hybridMultilevel"/>
    <w:tmpl w:val="D190F7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67C40536"/>
    <w:multiLevelType w:val="hybridMultilevel"/>
    <w:tmpl w:val="0D444524"/>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 w15:restartNumberingAfterBreak="0">
    <w:nsid w:val="6F15401D"/>
    <w:multiLevelType w:val="hybridMultilevel"/>
    <w:tmpl w:val="99086A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6FCD611C"/>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56F02A7"/>
    <w:multiLevelType w:val="hybridMultilevel"/>
    <w:tmpl w:val="58808A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5"/>
  </w:num>
  <w:num w:numId="2">
    <w:abstractNumId w:val="3"/>
  </w:num>
  <w:num w:numId="3">
    <w:abstractNumId w:val="0"/>
  </w:num>
  <w:num w:numId="4">
    <w:abstractNumId w:val="1"/>
  </w:num>
  <w:num w:numId="5">
    <w:abstractNumId w:val="4"/>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F62"/>
    <w:rsid w:val="00000EE0"/>
    <w:rsid w:val="000356A5"/>
    <w:rsid w:val="00035B09"/>
    <w:rsid w:val="00075990"/>
    <w:rsid w:val="000773F2"/>
    <w:rsid w:val="00096D3A"/>
    <w:rsid w:val="000B0B0A"/>
    <w:rsid w:val="000B3633"/>
    <w:rsid w:val="000E3168"/>
    <w:rsid w:val="000E3EAB"/>
    <w:rsid w:val="000F1175"/>
    <w:rsid w:val="001149BA"/>
    <w:rsid w:val="00147305"/>
    <w:rsid w:val="0018280B"/>
    <w:rsid w:val="001D318E"/>
    <w:rsid w:val="001E0A72"/>
    <w:rsid w:val="001E5684"/>
    <w:rsid w:val="002270EE"/>
    <w:rsid w:val="0025107E"/>
    <w:rsid w:val="002D2C06"/>
    <w:rsid w:val="002E2F01"/>
    <w:rsid w:val="003067D8"/>
    <w:rsid w:val="00322C8F"/>
    <w:rsid w:val="003253B0"/>
    <w:rsid w:val="00331318"/>
    <w:rsid w:val="0033210F"/>
    <w:rsid w:val="003503AD"/>
    <w:rsid w:val="00361270"/>
    <w:rsid w:val="003654B7"/>
    <w:rsid w:val="003B277E"/>
    <w:rsid w:val="003C20A8"/>
    <w:rsid w:val="003C2137"/>
    <w:rsid w:val="003D745F"/>
    <w:rsid w:val="003E2B98"/>
    <w:rsid w:val="00403153"/>
    <w:rsid w:val="00425E80"/>
    <w:rsid w:val="004337EF"/>
    <w:rsid w:val="004636CF"/>
    <w:rsid w:val="004972BC"/>
    <w:rsid w:val="004B27AC"/>
    <w:rsid w:val="004C64FF"/>
    <w:rsid w:val="004D34E4"/>
    <w:rsid w:val="004E0CD2"/>
    <w:rsid w:val="0050048A"/>
    <w:rsid w:val="00504D28"/>
    <w:rsid w:val="00550F95"/>
    <w:rsid w:val="00561895"/>
    <w:rsid w:val="0056302C"/>
    <w:rsid w:val="00563455"/>
    <w:rsid w:val="00596B12"/>
    <w:rsid w:val="005B2FEA"/>
    <w:rsid w:val="005C47D3"/>
    <w:rsid w:val="005C6F62"/>
    <w:rsid w:val="00610590"/>
    <w:rsid w:val="00621622"/>
    <w:rsid w:val="00650A03"/>
    <w:rsid w:val="006646F0"/>
    <w:rsid w:val="00673B76"/>
    <w:rsid w:val="00691DE4"/>
    <w:rsid w:val="0069291B"/>
    <w:rsid w:val="006A0EC2"/>
    <w:rsid w:val="006B3BA5"/>
    <w:rsid w:val="006D0505"/>
    <w:rsid w:val="006D15B1"/>
    <w:rsid w:val="006D3D47"/>
    <w:rsid w:val="006D674F"/>
    <w:rsid w:val="006D68C7"/>
    <w:rsid w:val="006E3E2D"/>
    <w:rsid w:val="006F39E5"/>
    <w:rsid w:val="00714E6E"/>
    <w:rsid w:val="007212DD"/>
    <w:rsid w:val="00754173"/>
    <w:rsid w:val="00784358"/>
    <w:rsid w:val="007902DE"/>
    <w:rsid w:val="00790343"/>
    <w:rsid w:val="0079066F"/>
    <w:rsid w:val="007F08A3"/>
    <w:rsid w:val="007F65F0"/>
    <w:rsid w:val="00805376"/>
    <w:rsid w:val="0081373B"/>
    <w:rsid w:val="00822E24"/>
    <w:rsid w:val="0084377C"/>
    <w:rsid w:val="008A1D3D"/>
    <w:rsid w:val="0090066B"/>
    <w:rsid w:val="0092612A"/>
    <w:rsid w:val="00931598"/>
    <w:rsid w:val="009616E0"/>
    <w:rsid w:val="009853D0"/>
    <w:rsid w:val="009947F3"/>
    <w:rsid w:val="009C3F7A"/>
    <w:rsid w:val="009C6356"/>
    <w:rsid w:val="00A00D9E"/>
    <w:rsid w:val="00A12500"/>
    <w:rsid w:val="00A316DF"/>
    <w:rsid w:val="00A439B9"/>
    <w:rsid w:val="00A7350A"/>
    <w:rsid w:val="00B156A0"/>
    <w:rsid w:val="00B16560"/>
    <w:rsid w:val="00B22F1C"/>
    <w:rsid w:val="00B43B73"/>
    <w:rsid w:val="00B60B7C"/>
    <w:rsid w:val="00BC5DEB"/>
    <w:rsid w:val="00BE6D56"/>
    <w:rsid w:val="00C06328"/>
    <w:rsid w:val="00C26859"/>
    <w:rsid w:val="00C57EBA"/>
    <w:rsid w:val="00C6087F"/>
    <w:rsid w:val="00C646B4"/>
    <w:rsid w:val="00C71FC0"/>
    <w:rsid w:val="00C744A0"/>
    <w:rsid w:val="00C806D8"/>
    <w:rsid w:val="00C826A2"/>
    <w:rsid w:val="00C83E34"/>
    <w:rsid w:val="00CC14FA"/>
    <w:rsid w:val="00CC5F2E"/>
    <w:rsid w:val="00CE1375"/>
    <w:rsid w:val="00D15D3A"/>
    <w:rsid w:val="00D24B47"/>
    <w:rsid w:val="00D555C3"/>
    <w:rsid w:val="00D82F25"/>
    <w:rsid w:val="00D96584"/>
    <w:rsid w:val="00DB0F48"/>
    <w:rsid w:val="00E03D15"/>
    <w:rsid w:val="00E17AC9"/>
    <w:rsid w:val="00E528C1"/>
    <w:rsid w:val="00E710F7"/>
    <w:rsid w:val="00E9134E"/>
    <w:rsid w:val="00ED1DA1"/>
    <w:rsid w:val="00ED278E"/>
    <w:rsid w:val="00ED49D5"/>
    <w:rsid w:val="00F1112B"/>
    <w:rsid w:val="00F3285E"/>
    <w:rsid w:val="00F356C8"/>
    <w:rsid w:val="00F3606A"/>
    <w:rsid w:val="00FA779D"/>
    <w:rsid w:val="00FC0CA6"/>
    <w:rsid w:val="00FC1801"/>
    <w:rsid w:val="00FC7234"/>
    <w:rsid w:val="00FD361F"/>
    <w:rsid w:val="00FF7F79"/>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2D1D91"/>
  <w14:defaultImageDpi w14:val="300"/>
  <w15:docId w15:val="{E26114F8-51FB-2745-B57D-1D27A9908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C6F62"/>
    <w:pPr>
      <w:tabs>
        <w:tab w:val="center" w:pos="4252"/>
        <w:tab w:val="right" w:pos="8504"/>
      </w:tabs>
    </w:pPr>
  </w:style>
  <w:style w:type="character" w:customStyle="1" w:styleId="EncabezadoCar">
    <w:name w:val="Encabezado Car"/>
    <w:basedOn w:val="Fuentedeprrafopredeter"/>
    <w:link w:val="Encabezado"/>
    <w:uiPriority w:val="99"/>
    <w:rsid w:val="005C6F62"/>
  </w:style>
  <w:style w:type="paragraph" w:styleId="Piedepgina">
    <w:name w:val="footer"/>
    <w:basedOn w:val="Normal"/>
    <w:link w:val="PiedepginaCar"/>
    <w:uiPriority w:val="99"/>
    <w:unhideWhenUsed/>
    <w:rsid w:val="005C6F62"/>
    <w:pPr>
      <w:tabs>
        <w:tab w:val="center" w:pos="4252"/>
        <w:tab w:val="right" w:pos="8504"/>
      </w:tabs>
    </w:pPr>
  </w:style>
  <w:style w:type="character" w:customStyle="1" w:styleId="PiedepginaCar">
    <w:name w:val="Pie de página Car"/>
    <w:basedOn w:val="Fuentedeprrafopredeter"/>
    <w:link w:val="Piedepgina"/>
    <w:uiPriority w:val="99"/>
    <w:rsid w:val="005C6F62"/>
  </w:style>
  <w:style w:type="paragraph" w:styleId="Textodeglobo">
    <w:name w:val="Balloon Text"/>
    <w:basedOn w:val="Normal"/>
    <w:link w:val="TextodegloboCar"/>
    <w:uiPriority w:val="99"/>
    <w:semiHidden/>
    <w:unhideWhenUsed/>
    <w:rsid w:val="005C6F62"/>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5C6F62"/>
    <w:rPr>
      <w:rFonts w:ascii="Lucida Grande" w:hAnsi="Lucida Grande"/>
      <w:sz w:val="18"/>
      <w:szCs w:val="18"/>
    </w:rPr>
  </w:style>
  <w:style w:type="paragraph" w:styleId="Prrafodelista">
    <w:name w:val="List Paragraph"/>
    <w:basedOn w:val="Normal"/>
    <w:link w:val="PrrafodelistaCar"/>
    <w:uiPriority w:val="34"/>
    <w:qFormat/>
    <w:rsid w:val="0025107E"/>
    <w:pPr>
      <w:ind w:left="720"/>
      <w:contextualSpacing/>
    </w:pPr>
  </w:style>
  <w:style w:type="character" w:customStyle="1" w:styleId="PrrafodelistaCar">
    <w:name w:val="Párrafo de lista Car"/>
    <w:basedOn w:val="Fuentedeprrafopredeter"/>
    <w:link w:val="Prrafodelista"/>
    <w:uiPriority w:val="34"/>
    <w:rsid w:val="00E710F7"/>
  </w:style>
  <w:style w:type="character" w:styleId="Refdecomentario">
    <w:name w:val="annotation reference"/>
    <w:basedOn w:val="Fuentedeprrafopredeter"/>
    <w:uiPriority w:val="99"/>
    <w:semiHidden/>
    <w:unhideWhenUsed/>
    <w:rsid w:val="00610590"/>
    <w:rPr>
      <w:sz w:val="16"/>
      <w:szCs w:val="16"/>
    </w:rPr>
  </w:style>
  <w:style w:type="paragraph" w:styleId="Textocomentario">
    <w:name w:val="annotation text"/>
    <w:basedOn w:val="Normal"/>
    <w:link w:val="TextocomentarioCar"/>
    <w:uiPriority w:val="99"/>
    <w:semiHidden/>
    <w:unhideWhenUsed/>
    <w:rsid w:val="00610590"/>
    <w:rPr>
      <w:sz w:val="20"/>
      <w:szCs w:val="20"/>
    </w:rPr>
  </w:style>
  <w:style w:type="character" w:customStyle="1" w:styleId="TextocomentarioCar">
    <w:name w:val="Texto comentario Car"/>
    <w:basedOn w:val="Fuentedeprrafopredeter"/>
    <w:link w:val="Textocomentario"/>
    <w:uiPriority w:val="99"/>
    <w:semiHidden/>
    <w:rsid w:val="00610590"/>
    <w:rPr>
      <w:sz w:val="20"/>
      <w:szCs w:val="20"/>
    </w:rPr>
  </w:style>
  <w:style w:type="paragraph" w:styleId="Asuntodelcomentario">
    <w:name w:val="annotation subject"/>
    <w:basedOn w:val="Textocomentario"/>
    <w:next w:val="Textocomentario"/>
    <w:link w:val="AsuntodelcomentarioCar"/>
    <w:uiPriority w:val="99"/>
    <w:semiHidden/>
    <w:unhideWhenUsed/>
    <w:rsid w:val="00610590"/>
    <w:rPr>
      <w:b/>
      <w:bCs/>
    </w:rPr>
  </w:style>
  <w:style w:type="character" w:customStyle="1" w:styleId="AsuntodelcomentarioCar">
    <w:name w:val="Asunto del comentario Car"/>
    <w:basedOn w:val="TextocomentarioCar"/>
    <w:link w:val="Asuntodelcomentario"/>
    <w:uiPriority w:val="99"/>
    <w:semiHidden/>
    <w:rsid w:val="0061059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098560">
      <w:bodyDiv w:val="1"/>
      <w:marLeft w:val="0"/>
      <w:marRight w:val="0"/>
      <w:marTop w:val="0"/>
      <w:marBottom w:val="0"/>
      <w:divBdr>
        <w:top w:val="none" w:sz="0" w:space="0" w:color="auto"/>
        <w:left w:val="none" w:sz="0" w:space="0" w:color="auto"/>
        <w:bottom w:val="none" w:sz="0" w:space="0" w:color="auto"/>
        <w:right w:val="none" w:sz="0" w:space="0" w:color="auto"/>
      </w:divBdr>
      <w:divsChild>
        <w:div w:id="749891387">
          <w:marLeft w:val="0"/>
          <w:marRight w:val="0"/>
          <w:marTop w:val="0"/>
          <w:marBottom w:val="0"/>
          <w:divBdr>
            <w:top w:val="none" w:sz="0" w:space="0" w:color="auto"/>
            <w:left w:val="none" w:sz="0" w:space="0" w:color="auto"/>
            <w:bottom w:val="none" w:sz="0" w:space="0" w:color="auto"/>
            <w:right w:val="none" w:sz="0" w:space="0" w:color="auto"/>
          </w:divBdr>
        </w:div>
      </w:divsChild>
    </w:div>
    <w:div w:id="1349066263">
      <w:bodyDiv w:val="1"/>
      <w:marLeft w:val="0"/>
      <w:marRight w:val="0"/>
      <w:marTop w:val="0"/>
      <w:marBottom w:val="0"/>
      <w:divBdr>
        <w:top w:val="none" w:sz="0" w:space="0" w:color="auto"/>
        <w:left w:val="none" w:sz="0" w:space="0" w:color="auto"/>
        <w:bottom w:val="none" w:sz="0" w:space="0" w:color="auto"/>
        <w:right w:val="none" w:sz="0" w:space="0" w:color="auto"/>
      </w:divBdr>
      <w:divsChild>
        <w:div w:id="2031838468">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926D-534B-A24A-93B3-6755CD59A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1106</Words>
  <Characters>6087</Characters>
  <Application>Microsoft Office Word</Application>
  <DocSecurity>0</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 C</dc:creator>
  <cp:keywords/>
  <dc:description/>
  <cp:lastModifiedBy>Sergio Lopez Ayllon</cp:lastModifiedBy>
  <cp:revision>2</cp:revision>
  <cp:lastPrinted>2018-12-10T18:18:00Z</cp:lastPrinted>
  <dcterms:created xsi:type="dcterms:W3CDTF">2021-08-18T17:50:00Z</dcterms:created>
  <dcterms:modified xsi:type="dcterms:W3CDTF">2021-08-18T17:50:00Z</dcterms:modified>
</cp:coreProperties>
</file>